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FAD57" w14:textId="2498D2A4" w:rsidR="00265E97" w:rsidRPr="00265E97" w:rsidRDefault="00E23C6A" w:rsidP="00265E97">
      <w:pPr>
        <w:rPr>
          <w:b/>
          <w:sz w:val="36"/>
          <w:szCs w:val="36"/>
        </w:rPr>
      </w:pPr>
      <w:r>
        <w:rPr>
          <w:b/>
          <w:sz w:val="40"/>
          <w:szCs w:val="36"/>
        </w:rPr>
        <w:t>Dynamic Purchasing System</w:t>
      </w:r>
      <w:r w:rsidR="00CD2062" w:rsidRPr="00F311B4">
        <w:rPr>
          <w:b/>
          <w:sz w:val="40"/>
          <w:szCs w:val="36"/>
        </w:rPr>
        <w:t xml:space="preserve"> Schedule 1 (Specification</w:t>
      </w:r>
      <w:r w:rsidR="00F311B4" w:rsidRPr="00F311B4">
        <w:rPr>
          <w:b/>
          <w:sz w:val="40"/>
          <w:szCs w:val="36"/>
        </w:rPr>
        <w:t>)</w:t>
      </w:r>
    </w:p>
    <w:p w14:paraId="2B918121" w14:textId="77777777" w:rsidR="00F311B4" w:rsidRDefault="00F311B4">
      <w:pPr>
        <w:rPr>
          <w:b/>
        </w:rPr>
      </w:pPr>
    </w:p>
    <w:sdt>
      <w:sdtPr>
        <w:rPr>
          <w:rFonts w:ascii="Arial" w:eastAsia="Arial" w:hAnsi="Arial" w:cs="Arial"/>
          <w:color w:val="auto"/>
          <w:sz w:val="22"/>
          <w:szCs w:val="22"/>
          <w:lang w:val="en-GB" w:eastAsia="en-GB"/>
        </w:rPr>
        <w:id w:val="-1465804986"/>
        <w:docPartObj>
          <w:docPartGallery w:val="Table of Contents"/>
          <w:docPartUnique/>
        </w:docPartObj>
      </w:sdtPr>
      <w:sdtEndPr>
        <w:rPr>
          <w:b/>
          <w:bCs/>
          <w:noProof/>
        </w:rPr>
      </w:sdtEndPr>
      <w:sdtContent>
        <w:p w14:paraId="327757E0" w14:textId="4CEE2D64" w:rsidR="00095B09" w:rsidRDefault="00095B09">
          <w:pPr>
            <w:pStyle w:val="TOCHeading"/>
          </w:pPr>
          <w:r>
            <w:t>Contents</w:t>
          </w:r>
        </w:p>
        <w:p w14:paraId="6486B407" w14:textId="7ADF6E13" w:rsidR="00206842" w:rsidRDefault="00095B09">
          <w:pPr>
            <w:pStyle w:val="TOC1"/>
            <w:tabs>
              <w:tab w:val="right" w:leader="dot" w:pos="9019"/>
            </w:tabs>
            <w:rPr>
              <w:rFonts w:asciiTheme="minorHAnsi" w:eastAsiaTheme="minorEastAsia" w:hAnsiTheme="minorHAnsi" w:cstheme="minorBidi"/>
              <w:noProof/>
              <w:kern w:val="2"/>
              <w14:ligatures w14:val="standardContextual"/>
            </w:rPr>
          </w:pPr>
          <w:r>
            <w:rPr>
              <w:b/>
              <w:bCs/>
              <w:noProof/>
            </w:rPr>
            <w:fldChar w:fldCharType="begin"/>
          </w:r>
          <w:r>
            <w:rPr>
              <w:b/>
              <w:bCs/>
              <w:noProof/>
            </w:rPr>
            <w:instrText xml:space="preserve"> TOC \o "1-3" \h \z \u </w:instrText>
          </w:r>
          <w:r>
            <w:rPr>
              <w:b/>
              <w:bCs/>
              <w:noProof/>
            </w:rPr>
            <w:fldChar w:fldCharType="separate"/>
          </w:r>
          <w:hyperlink w:anchor="_Toc150169991" w:history="1">
            <w:r w:rsidR="00206842" w:rsidRPr="00237C57">
              <w:rPr>
                <w:rStyle w:val="Hyperlink"/>
                <w:b/>
                <w:noProof/>
              </w:rPr>
              <w:t>Scope and Filters:</w:t>
            </w:r>
            <w:r w:rsidR="00206842">
              <w:rPr>
                <w:noProof/>
                <w:webHidden/>
              </w:rPr>
              <w:tab/>
            </w:r>
            <w:r w:rsidR="00206842">
              <w:rPr>
                <w:noProof/>
                <w:webHidden/>
              </w:rPr>
              <w:fldChar w:fldCharType="begin"/>
            </w:r>
            <w:r w:rsidR="00206842">
              <w:rPr>
                <w:noProof/>
                <w:webHidden/>
              </w:rPr>
              <w:instrText xml:space="preserve"> PAGEREF _Toc150169991 \h </w:instrText>
            </w:r>
            <w:r w:rsidR="00206842">
              <w:rPr>
                <w:noProof/>
                <w:webHidden/>
              </w:rPr>
            </w:r>
            <w:r w:rsidR="00206842">
              <w:rPr>
                <w:noProof/>
                <w:webHidden/>
              </w:rPr>
              <w:fldChar w:fldCharType="separate"/>
            </w:r>
            <w:r w:rsidR="00206842">
              <w:rPr>
                <w:noProof/>
                <w:webHidden/>
              </w:rPr>
              <w:t>1</w:t>
            </w:r>
            <w:r w:rsidR="00206842">
              <w:rPr>
                <w:noProof/>
                <w:webHidden/>
              </w:rPr>
              <w:fldChar w:fldCharType="end"/>
            </w:r>
          </w:hyperlink>
        </w:p>
        <w:p w14:paraId="1EB55CE4" w14:textId="4F517A42" w:rsidR="00206842" w:rsidRDefault="00206842">
          <w:pPr>
            <w:pStyle w:val="TOC1"/>
            <w:tabs>
              <w:tab w:val="right" w:leader="dot" w:pos="9019"/>
            </w:tabs>
            <w:rPr>
              <w:rFonts w:asciiTheme="minorHAnsi" w:eastAsiaTheme="minorEastAsia" w:hAnsiTheme="minorHAnsi" w:cstheme="minorBidi"/>
              <w:noProof/>
              <w:kern w:val="2"/>
              <w14:ligatures w14:val="standardContextual"/>
            </w:rPr>
          </w:pPr>
          <w:hyperlink w:anchor="_Toc150169992" w:history="1">
            <w:r w:rsidRPr="00237C57">
              <w:rPr>
                <w:rStyle w:val="Hyperlink"/>
                <w:b/>
                <w:noProof/>
              </w:rPr>
              <w:t>Exclusions:</w:t>
            </w:r>
            <w:r>
              <w:rPr>
                <w:noProof/>
                <w:webHidden/>
              </w:rPr>
              <w:tab/>
            </w:r>
            <w:r>
              <w:rPr>
                <w:noProof/>
                <w:webHidden/>
              </w:rPr>
              <w:fldChar w:fldCharType="begin"/>
            </w:r>
            <w:r>
              <w:rPr>
                <w:noProof/>
                <w:webHidden/>
              </w:rPr>
              <w:instrText xml:space="preserve"> PAGEREF _Toc150169992 \h </w:instrText>
            </w:r>
            <w:r>
              <w:rPr>
                <w:noProof/>
                <w:webHidden/>
              </w:rPr>
            </w:r>
            <w:r>
              <w:rPr>
                <w:noProof/>
                <w:webHidden/>
              </w:rPr>
              <w:fldChar w:fldCharType="separate"/>
            </w:r>
            <w:r>
              <w:rPr>
                <w:noProof/>
                <w:webHidden/>
              </w:rPr>
              <w:t>5</w:t>
            </w:r>
            <w:r>
              <w:rPr>
                <w:noProof/>
                <w:webHidden/>
              </w:rPr>
              <w:fldChar w:fldCharType="end"/>
            </w:r>
          </w:hyperlink>
        </w:p>
        <w:p w14:paraId="2EB96355" w14:textId="6469F381" w:rsidR="00206842" w:rsidRDefault="00206842">
          <w:pPr>
            <w:pStyle w:val="TOC1"/>
            <w:tabs>
              <w:tab w:val="left" w:pos="440"/>
              <w:tab w:val="right" w:leader="dot" w:pos="9019"/>
            </w:tabs>
            <w:rPr>
              <w:rFonts w:asciiTheme="minorHAnsi" w:eastAsiaTheme="minorEastAsia" w:hAnsiTheme="minorHAnsi" w:cstheme="minorBidi"/>
              <w:noProof/>
              <w:kern w:val="2"/>
              <w14:ligatures w14:val="standardContextual"/>
            </w:rPr>
          </w:pPr>
          <w:hyperlink w:anchor="_Toc150169993" w:history="1">
            <w:r w:rsidRPr="00237C57">
              <w:rPr>
                <w:rStyle w:val="Hyperlink"/>
                <w:b/>
                <w:noProof/>
              </w:rPr>
              <w:t>1.</w:t>
            </w:r>
            <w:r>
              <w:rPr>
                <w:rFonts w:asciiTheme="minorHAnsi" w:eastAsiaTheme="minorEastAsia" w:hAnsiTheme="minorHAnsi" w:cstheme="minorBidi"/>
                <w:noProof/>
                <w:kern w:val="2"/>
                <w14:ligatures w14:val="standardContextual"/>
              </w:rPr>
              <w:tab/>
            </w:r>
            <w:r w:rsidRPr="00237C57">
              <w:rPr>
                <w:rStyle w:val="Hyperlink"/>
                <w:b/>
                <w:noProof/>
              </w:rPr>
              <w:t>Our Mandatory Policies</w:t>
            </w:r>
            <w:r>
              <w:rPr>
                <w:noProof/>
                <w:webHidden/>
              </w:rPr>
              <w:tab/>
            </w:r>
            <w:r>
              <w:rPr>
                <w:noProof/>
                <w:webHidden/>
              </w:rPr>
              <w:fldChar w:fldCharType="begin"/>
            </w:r>
            <w:r>
              <w:rPr>
                <w:noProof/>
                <w:webHidden/>
              </w:rPr>
              <w:instrText xml:space="preserve"> PAGEREF _Toc150169993 \h </w:instrText>
            </w:r>
            <w:r>
              <w:rPr>
                <w:noProof/>
                <w:webHidden/>
              </w:rPr>
            </w:r>
            <w:r>
              <w:rPr>
                <w:noProof/>
                <w:webHidden/>
              </w:rPr>
              <w:fldChar w:fldCharType="separate"/>
            </w:r>
            <w:r>
              <w:rPr>
                <w:noProof/>
                <w:webHidden/>
              </w:rPr>
              <w:t>5</w:t>
            </w:r>
            <w:r>
              <w:rPr>
                <w:noProof/>
                <w:webHidden/>
              </w:rPr>
              <w:fldChar w:fldCharType="end"/>
            </w:r>
          </w:hyperlink>
        </w:p>
        <w:p w14:paraId="192478D1" w14:textId="31EB26D1" w:rsidR="00206842" w:rsidRDefault="00206842">
          <w:pPr>
            <w:pStyle w:val="TOC1"/>
            <w:tabs>
              <w:tab w:val="right" w:leader="dot" w:pos="9019"/>
            </w:tabs>
            <w:rPr>
              <w:rFonts w:asciiTheme="minorHAnsi" w:eastAsiaTheme="minorEastAsia" w:hAnsiTheme="minorHAnsi" w:cstheme="minorBidi"/>
              <w:noProof/>
              <w:kern w:val="2"/>
              <w14:ligatures w14:val="standardContextual"/>
            </w:rPr>
          </w:pPr>
          <w:hyperlink w:anchor="_Toc150169994" w:history="1">
            <w:r w:rsidRPr="00237C57">
              <w:rPr>
                <w:rStyle w:val="Hyperlink"/>
                <w:bCs/>
                <w:noProof/>
              </w:rPr>
              <w:t xml:space="preserve">The Suppliers must comply with Cadent’s Supplier Code of Conduct </w:t>
            </w:r>
            <w:r w:rsidRPr="00237C57">
              <w:rPr>
                <w:rStyle w:val="Hyperlink"/>
                <w:noProof/>
              </w:rPr>
              <w:t>https://cadentgas.com/nggdwsdev/media/Downloads/Supplier-Code-of-Conduct.pdf.</w:t>
            </w:r>
            <w:r>
              <w:rPr>
                <w:noProof/>
                <w:webHidden/>
              </w:rPr>
              <w:tab/>
            </w:r>
            <w:r>
              <w:rPr>
                <w:noProof/>
                <w:webHidden/>
              </w:rPr>
              <w:fldChar w:fldCharType="begin"/>
            </w:r>
            <w:r>
              <w:rPr>
                <w:noProof/>
                <w:webHidden/>
              </w:rPr>
              <w:instrText xml:space="preserve"> PAGEREF _Toc150169994 \h </w:instrText>
            </w:r>
            <w:r>
              <w:rPr>
                <w:noProof/>
                <w:webHidden/>
              </w:rPr>
            </w:r>
            <w:r>
              <w:rPr>
                <w:noProof/>
                <w:webHidden/>
              </w:rPr>
              <w:fldChar w:fldCharType="separate"/>
            </w:r>
            <w:r>
              <w:rPr>
                <w:noProof/>
                <w:webHidden/>
              </w:rPr>
              <w:t>5</w:t>
            </w:r>
            <w:r>
              <w:rPr>
                <w:noProof/>
                <w:webHidden/>
              </w:rPr>
              <w:fldChar w:fldCharType="end"/>
            </w:r>
          </w:hyperlink>
        </w:p>
        <w:p w14:paraId="273BA199" w14:textId="0F86F0C3" w:rsidR="00206842" w:rsidRDefault="00206842">
          <w:pPr>
            <w:pStyle w:val="TOC1"/>
            <w:tabs>
              <w:tab w:val="right" w:leader="dot" w:pos="9019"/>
            </w:tabs>
            <w:rPr>
              <w:rFonts w:asciiTheme="minorHAnsi" w:eastAsiaTheme="minorEastAsia" w:hAnsiTheme="minorHAnsi" w:cstheme="minorBidi"/>
              <w:noProof/>
              <w:kern w:val="2"/>
              <w14:ligatures w14:val="standardContextual"/>
            </w:rPr>
          </w:pPr>
          <w:hyperlink w:anchor="_Toc150169995" w:history="1">
            <w:r w:rsidRPr="00237C57">
              <w:rPr>
                <w:rStyle w:val="Hyperlink"/>
                <w:b/>
                <w:noProof/>
              </w:rPr>
              <w:t>2. General Requirements</w:t>
            </w:r>
            <w:r>
              <w:rPr>
                <w:noProof/>
                <w:webHidden/>
              </w:rPr>
              <w:tab/>
            </w:r>
            <w:r>
              <w:rPr>
                <w:noProof/>
                <w:webHidden/>
              </w:rPr>
              <w:fldChar w:fldCharType="begin"/>
            </w:r>
            <w:r>
              <w:rPr>
                <w:noProof/>
                <w:webHidden/>
              </w:rPr>
              <w:instrText xml:space="preserve"> PAGEREF _Toc150169995 \h </w:instrText>
            </w:r>
            <w:r>
              <w:rPr>
                <w:noProof/>
                <w:webHidden/>
              </w:rPr>
            </w:r>
            <w:r>
              <w:rPr>
                <w:noProof/>
                <w:webHidden/>
              </w:rPr>
              <w:fldChar w:fldCharType="separate"/>
            </w:r>
            <w:r>
              <w:rPr>
                <w:noProof/>
                <w:webHidden/>
              </w:rPr>
              <w:t>5</w:t>
            </w:r>
            <w:r>
              <w:rPr>
                <w:noProof/>
                <w:webHidden/>
              </w:rPr>
              <w:fldChar w:fldCharType="end"/>
            </w:r>
          </w:hyperlink>
        </w:p>
        <w:p w14:paraId="35B342D9" w14:textId="58C0F16C" w:rsidR="00206842" w:rsidRDefault="00206842">
          <w:pPr>
            <w:pStyle w:val="TOC1"/>
            <w:tabs>
              <w:tab w:val="right" w:leader="dot" w:pos="9019"/>
            </w:tabs>
            <w:rPr>
              <w:rFonts w:asciiTheme="minorHAnsi" w:eastAsiaTheme="minorEastAsia" w:hAnsiTheme="minorHAnsi" w:cstheme="minorBidi"/>
              <w:noProof/>
              <w:kern w:val="2"/>
              <w14:ligatures w14:val="standardContextual"/>
            </w:rPr>
          </w:pPr>
          <w:hyperlink w:anchor="_Toc150169996" w:history="1">
            <w:r w:rsidRPr="00237C57">
              <w:rPr>
                <w:rStyle w:val="Hyperlink"/>
                <w:b/>
                <w:noProof/>
              </w:rPr>
              <w:t>2.1 General</w:t>
            </w:r>
            <w:r>
              <w:rPr>
                <w:noProof/>
                <w:webHidden/>
              </w:rPr>
              <w:tab/>
            </w:r>
            <w:r>
              <w:rPr>
                <w:noProof/>
                <w:webHidden/>
              </w:rPr>
              <w:fldChar w:fldCharType="begin"/>
            </w:r>
            <w:r>
              <w:rPr>
                <w:noProof/>
                <w:webHidden/>
              </w:rPr>
              <w:instrText xml:space="preserve"> PAGEREF _Toc150169996 \h </w:instrText>
            </w:r>
            <w:r>
              <w:rPr>
                <w:noProof/>
                <w:webHidden/>
              </w:rPr>
            </w:r>
            <w:r>
              <w:rPr>
                <w:noProof/>
                <w:webHidden/>
              </w:rPr>
              <w:fldChar w:fldCharType="separate"/>
            </w:r>
            <w:r>
              <w:rPr>
                <w:noProof/>
                <w:webHidden/>
              </w:rPr>
              <w:t>5</w:t>
            </w:r>
            <w:r>
              <w:rPr>
                <w:noProof/>
                <w:webHidden/>
              </w:rPr>
              <w:fldChar w:fldCharType="end"/>
            </w:r>
          </w:hyperlink>
        </w:p>
        <w:p w14:paraId="3918579F" w14:textId="1798DF82" w:rsidR="00206842" w:rsidRDefault="00206842">
          <w:pPr>
            <w:pStyle w:val="TOC1"/>
            <w:tabs>
              <w:tab w:val="right" w:leader="dot" w:pos="9019"/>
            </w:tabs>
            <w:rPr>
              <w:rFonts w:asciiTheme="minorHAnsi" w:eastAsiaTheme="minorEastAsia" w:hAnsiTheme="minorHAnsi" w:cstheme="minorBidi"/>
              <w:noProof/>
              <w:kern w:val="2"/>
              <w14:ligatures w14:val="standardContextual"/>
            </w:rPr>
          </w:pPr>
          <w:hyperlink w:anchor="_Toc150169997" w:history="1">
            <w:r w:rsidRPr="00237C57">
              <w:rPr>
                <w:rStyle w:val="Hyperlink"/>
                <w:b/>
                <w:noProof/>
              </w:rPr>
              <w:t>2.2 Pricing Transparency</w:t>
            </w:r>
            <w:r>
              <w:rPr>
                <w:noProof/>
                <w:webHidden/>
              </w:rPr>
              <w:tab/>
            </w:r>
            <w:r>
              <w:rPr>
                <w:noProof/>
                <w:webHidden/>
              </w:rPr>
              <w:fldChar w:fldCharType="begin"/>
            </w:r>
            <w:r>
              <w:rPr>
                <w:noProof/>
                <w:webHidden/>
              </w:rPr>
              <w:instrText xml:space="preserve"> PAGEREF _Toc150169997 \h </w:instrText>
            </w:r>
            <w:r>
              <w:rPr>
                <w:noProof/>
                <w:webHidden/>
              </w:rPr>
            </w:r>
            <w:r>
              <w:rPr>
                <w:noProof/>
                <w:webHidden/>
              </w:rPr>
              <w:fldChar w:fldCharType="separate"/>
            </w:r>
            <w:r>
              <w:rPr>
                <w:noProof/>
                <w:webHidden/>
              </w:rPr>
              <w:t>5</w:t>
            </w:r>
            <w:r>
              <w:rPr>
                <w:noProof/>
                <w:webHidden/>
              </w:rPr>
              <w:fldChar w:fldCharType="end"/>
            </w:r>
          </w:hyperlink>
        </w:p>
        <w:p w14:paraId="75E651F7" w14:textId="34533BC4" w:rsidR="00206842" w:rsidRDefault="00206842">
          <w:pPr>
            <w:pStyle w:val="TOC1"/>
            <w:tabs>
              <w:tab w:val="right" w:leader="dot" w:pos="9019"/>
            </w:tabs>
            <w:rPr>
              <w:rFonts w:asciiTheme="minorHAnsi" w:eastAsiaTheme="minorEastAsia" w:hAnsiTheme="minorHAnsi" w:cstheme="minorBidi"/>
              <w:noProof/>
              <w:kern w:val="2"/>
              <w14:ligatures w14:val="standardContextual"/>
            </w:rPr>
          </w:pPr>
          <w:hyperlink w:anchor="_Toc150169998" w:history="1">
            <w:r w:rsidRPr="00237C57">
              <w:rPr>
                <w:rStyle w:val="Hyperlink"/>
                <w:b/>
                <w:noProof/>
              </w:rPr>
              <w:t>2.3 Continuous Improvement – Best Practice/Standards</w:t>
            </w:r>
            <w:r>
              <w:rPr>
                <w:noProof/>
                <w:webHidden/>
              </w:rPr>
              <w:tab/>
            </w:r>
            <w:r>
              <w:rPr>
                <w:noProof/>
                <w:webHidden/>
              </w:rPr>
              <w:fldChar w:fldCharType="begin"/>
            </w:r>
            <w:r>
              <w:rPr>
                <w:noProof/>
                <w:webHidden/>
              </w:rPr>
              <w:instrText xml:space="preserve"> PAGEREF _Toc150169998 \h </w:instrText>
            </w:r>
            <w:r>
              <w:rPr>
                <w:noProof/>
                <w:webHidden/>
              </w:rPr>
            </w:r>
            <w:r>
              <w:rPr>
                <w:noProof/>
                <w:webHidden/>
              </w:rPr>
              <w:fldChar w:fldCharType="separate"/>
            </w:r>
            <w:r>
              <w:rPr>
                <w:noProof/>
                <w:webHidden/>
              </w:rPr>
              <w:t>6</w:t>
            </w:r>
            <w:r>
              <w:rPr>
                <w:noProof/>
                <w:webHidden/>
              </w:rPr>
              <w:fldChar w:fldCharType="end"/>
            </w:r>
          </w:hyperlink>
        </w:p>
        <w:p w14:paraId="1FE35D74" w14:textId="1C4E3657" w:rsidR="00206842" w:rsidRDefault="00206842">
          <w:pPr>
            <w:pStyle w:val="TOC1"/>
            <w:tabs>
              <w:tab w:val="right" w:leader="dot" w:pos="9019"/>
            </w:tabs>
            <w:rPr>
              <w:rFonts w:asciiTheme="minorHAnsi" w:eastAsiaTheme="minorEastAsia" w:hAnsiTheme="minorHAnsi" w:cstheme="minorBidi"/>
              <w:noProof/>
              <w:kern w:val="2"/>
              <w14:ligatures w14:val="standardContextual"/>
            </w:rPr>
          </w:pPr>
          <w:hyperlink w:anchor="_Toc150169999" w:history="1">
            <w:r w:rsidRPr="00237C57">
              <w:rPr>
                <w:rStyle w:val="Hyperlink"/>
                <w:b/>
                <w:noProof/>
              </w:rPr>
              <w:t>2.4 Customer Service</w:t>
            </w:r>
            <w:r>
              <w:rPr>
                <w:noProof/>
                <w:webHidden/>
              </w:rPr>
              <w:tab/>
            </w:r>
            <w:r>
              <w:rPr>
                <w:noProof/>
                <w:webHidden/>
              </w:rPr>
              <w:fldChar w:fldCharType="begin"/>
            </w:r>
            <w:r>
              <w:rPr>
                <w:noProof/>
                <w:webHidden/>
              </w:rPr>
              <w:instrText xml:space="preserve"> PAGEREF _Toc150169999 \h </w:instrText>
            </w:r>
            <w:r>
              <w:rPr>
                <w:noProof/>
                <w:webHidden/>
              </w:rPr>
            </w:r>
            <w:r>
              <w:rPr>
                <w:noProof/>
                <w:webHidden/>
              </w:rPr>
              <w:fldChar w:fldCharType="separate"/>
            </w:r>
            <w:r>
              <w:rPr>
                <w:noProof/>
                <w:webHidden/>
              </w:rPr>
              <w:t>6</w:t>
            </w:r>
            <w:r>
              <w:rPr>
                <w:noProof/>
                <w:webHidden/>
              </w:rPr>
              <w:fldChar w:fldCharType="end"/>
            </w:r>
          </w:hyperlink>
        </w:p>
        <w:p w14:paraId="7084F431" w14:textId="6471BC7C" w:rsidR="00206842" w:rsidRDefault="00206842">
          <w:pPr>
            <w:pStyle w:val="TOC1"/>
            <w:tabs>
              <w:tab w:val="right" w:leader="dot" w:pos="9019"/>
            </w:tabs>
            <w:rPr>
              <w:rFonts w:asciiTheme="minorHAnsi" w:eastAsiaTheme="minorEastAsia" w:hAnsiTheme="minorHAnsi" w:cstheme="minorBidi"/>
              <w:noProof/>
              <w:kern w:val="2"/>
              <w14:ligatures w14:val="standardContextual"/>
            </w:rPr>
          </w:pPr>
          <w:hyperlink w:anchor="_Toc150170000" w:history="1">
            <w:r w:rsidRPr="00237C57">
              <w:rPr>
                <w:rStyle w:val="Hyperlink"/>
                <w:b/>
                <w:noProof/>
              </w:rPr>
              <w:t>2.5 Quality</w:t>
            </w:r>
            <w:r>
              <w:rPr>
                <w:noProof/>
                <w:webHidden/>
              </w:rPr>
              <w:tab/>
            </w:r>
            <w:r>
              <w:rPr>
                <w:noProof/>
                <w:webHidden/>
              </w:rPr>
              <w:fldChar w:fldCharType="begin"/>
            </w:r>
            <w:r>
              <w:rPr>
                <w:noProof/>
                <w:webHidden/>
              </w:rPr>
              <w:instrText xml:space="preserve"> PAGEREF _Toc150170000 \h </w:instrText>
            </w:r>
            <w:r>
              <w:rPr>
                <w:noProof/>
                <w:webHidden/>
              </w:rPr>
            </w:r>
            <w:r>
              <w:rPr>
                <w:noProof/>
                <w:webHidden/>
              </w:rPr>
              <w:fldChar w:fldCharType="separate"/>
            </w:r>
            <w:r>
              <w:rPr>
                <w:noProof/>
                <w:webHidden/>
              </w:rPr>
              <w:t>6</w:t>
            </w:r>
            <w:r>
              <w:rPr>
                <w:noProof/>
                <w:webHidden/>
              </w:rPr>
              <w:fldChar w:fldCharType="end"/>
            </w:r>
          </w:hyperlink>
        </w:p>
        <w:p w14:paraId="277305D7" w14:textId="3798FFD3" w:rsidR="00095B09" w:rsidRDefault="00095B09">
          <w:r>
            <w:rPr>
              <w:b/>
              <w:bCs/>
              <w:noProof/>
            </w:rPr>
            <w:fldChar w:fldCharType="end"/>
          </w:r>
        </w:p>
      </w:sdtContent>
    </w:sdt>
    <w:p w14:paraId="15812D60" w14:textId="77777777" w:rsidR="001B56FE" w:rsidRDefault="001B56FE">
      <w:pPr>
        <w:rPr>
          <w:b/>
        </w:rPr>
      </w:pPr>
    </w:p>
    <w:p w14:paraId="17B6895B" w14:textId="77777777" w:rsidR="001B56FE" w:rsidRPr="006D5EAE" w:rsidRDefault="001B56FE">
      <w:pPr>
        <w:rPr>
          <w:b/>
          <w:sz w:val="24"/>
          <w:szCs w:val="24"/>
        </w:rPr>
      </w:pPr>
    </w:p>
    <w:p w14:paraId="00000002" w14:textId="03E7EE73" w:rsidR="00DF0C77" w:rsidRPr="006D5EAE" w:rsidRDefault="00CD2062">
      <w:pPr>
        <w:rPr>
          <w:sz w:val="24"/>
          <w:szCs w:val="24"/>
        </w:rPr>
      </w:pPr>
      <w:r w:rsidRPr="006D5EAE">
        <w:rPr>
          <w:sz w:val="24"/>
          <w:szCs w:val="24"/>
        </w:rPr>
        <w:t xml:space="preserve">This Schedule sets out what </w:t>
      </w:r>
      <w:r w:rsidR="00E23C6A" w:rsidRPr="006D5EAE">
        <w:rPr>
          <w:sz w:val="24"/>
          <w:szCs w:val="24"/>
        </w:rPr>
        <w:t>Cadent wants</w:t>
      </w:r>
      <w:r w:rsidRPr="006D5EAE">
        <w:rPr>
          <w:sz w:val="24"/>
          <w:szCs w:val="24"/>
        </w:rPr>
        <w:t xml:space="preserve">. </w:t>
      </w:r>
    </w:p>
    <w:p w14:paraId="00000006" w14:textId="0E6692DD" w:rsidR="00DF0C77" w:rsidRDefault="00CD2062" w:rsidP="001B56FE">
      <w:pPr>
        <w:pStyle w:val="Heading1"/>
        <w:rPr>
          <w:sz w:val="28"/>
          <w:szCs w:val="28"/>
        </w:rPr>
      </w:pPr>
      <w:bookmarkStart w:id="0" w:name="_Toc150169991"/>
      <w:r w:rsidRPr="00370C70">
        <w:rPr>
          <w:b/>
          <w:sz w:val="28"/>
          <w:szCs w:val="28"/>
        </w:rPr>
        <w:t>Scope</w:t>
      </w:r>
      <w:r w:rsidR="00C05E28">
        <w:rPr>
          <w:b/>
          <w:sz w:val="28"/>
          <w:szCs w:val="28"/>
        </w:rPr>
        <w:t xml:space="preserve"> and </w:t>
      </w:r>
      <w:r w:rsidR="00792B63">
        <w:rPr>
          <w:b/>
          <w:sz w:val="28"/>
          <w:szCs w:val="28"/>
        </w:rPr>
        <w:t>Filters</w:t>
      </w:r>
      <w:r w:rsidRPr="00370C70">
        <w:rPr>
          <w:b/>
          <w:sz w:val="28"/>
          <w:szCs w:val="28"/>
        </w:rPr>
        <w:t>:</w:t>
      </w:r>
      <w:bookmarkEnd w:id="0"/>
      <w:r w:rsidRPr="00370C70">
        <w:rPr>
          <w:sz w:val="28"/>
          <w:szCs w:val="28"/>
        </w:rPr>
        <w:t xml:space="preserve"> </w:t>
      </w:r>
    </w:p>
    <w:p w14:paraId="3B43FC54" w14:textId="344EE4E3" w:rsidR="00DA0233" w:rsidRPr="006D5EAE" w:rsidRDefault="00DA0233" w:rsidP="00840181">
      <w:pPr>
        <w:rPr>
          <w:sz w:val="24"/>
          <w:szCs w:val="24"/>
        </w:rPr>
      </w:pPr>
      <w:r w:rsidRPr="006D5EAE">
        <w:rPr>
          <w:sz w:val="24"/>
          <w:szCs w:val="24"/>
        </w:rPr>
        <w:t xml:space="preserve">Cadent may use the </w:t>
      </w:r>
      <w:r w:rsidR="00507295" w:rsidRPr="006D5EAE">
        <w:rPr>
          <w:rStyle w:val="ui-provider"/>
          <w:sz w:val="24"/>
          <w:szCs w:val="24"/>
        </w:rPr>
        <w:t>IT Consultancy &amp; Technical Capability</w:t>
      </w:r>
      <w:r w:rsidRPr="006D5EAE">
        <w:rPr>
          <w:sz w:val="24"/>
          <w:szCs w:val="24"/>
        </w:rPr>
        <w:t xml:space="preserve"> Dynamic Purchasing System to </w:t>
      </w:r>
      <w:r w:rsidR="0047552E" w:rsidRPr="006D5EAE">
        <w:rPr>
          <w:sz w:val="24"/>
          <w:szCs w:val="24"/>
        </w:rPr>
        <w:t xml:space="preserve">call-off a wide range of IT </w:t>
      </w:r>
      <w:r w:rsidR="0009156B" w:rsidRPr="006D5EAE">
        <w:rPr>
          <w:sz w:val="24"/>
          <w:szCs w:val="24"/>
        </w:rPr>
        <w:t>Consultancy</w:t>
      </w:r>
      <w:r w:rsidR="0047552E" w:rsidRPr="006D5EAE">
        <w:rPr>
          <w:sz w:val="24"/>
          <w:szCs w:val="24"/>
        </w:rPr>
        <w:t xml:space="preserve"> </w:t>
      </w:r>
      <w:r w:rsidR="0017113E" w:rsidRPr="006D5EAE">
        <w:rPr>
          <w:sz w:val="24"/>
          <w:szCs w:val="24"/>
        </w:rPr>
        <w:t>or</w:t>
      </w:r>
      <w:r w:rsidR="009E1AD4" w:rsidRPr="006D5EAE">
        <w:rPr>
          <w:sz w:val="24"/>
          <w:szCs w:val="24"/>
        </w:rPr>
        <w:t xml:space="preserve"> IT</w:t>
      </w:r>
      <w:r w:rsidR="0017113E" w:rsidRPr="006D5EAE">
        <w:rPr>
          <w:sz w:val="24"/>
          <w:szCs w:val="24"/>
        </w:rPr>
        <w:t xml:space="preserve"> </w:t>
      </w:r>
      <w:r w:rsidR="0009156B" w:rsidRPr="006D5EAE">
        <w:rPr>
          <w:sz w:val="24"/>
          <w:szCs w:val="24"/>
        </w:rPr>
        <w:t>Technical</w:t>
      </w:r>
      <w:r w:rsidR="0017113E" w:rsidRPr="006D5EAE">
        <w:rPr>
          <w:sz w:val="24"/>
          <w:szCs w:val="24"/>
        </w:rPr>
        <w:t xml:space="preserve"> </w:t>
      </w:r>
      <w:r w:rsidR="0009156B" w:rsidRPr="006D5EAE">
        <w:rPr>
          <w:sz w:val="24"/>
          <w:szCs w:val="24"/>
        </w:rPr>
        <w:t>Capability</w:t>
      </w:r>
      <w:r w:rsidR="0017113E" w:rsidRPr="006D5EAE">
        <w:rPr>
          <w:sz w:val="24"/>
          <w:szCs w:val="24"/>
        </w:rPr>
        <w:t xml:space="preserve"> services as set out below.</w:t>
      </w:r>
      <w:r w:rsidR="00FC1CF2" w:rsidRPr="006D5EAE">
        <w:rPr>
          <w:sz w:val="24"/>
          <w:szCs w:val="24"/>
        </w:rPr>
        <w:t xml:space="preserve"> </w:t>
      </w:r>
    </w:p>
    <w:p w14:paraId="744024F0" w14:textId="77777777" w:rsidR="00DA0233" w:rsidRPr="006D5EAE" w:rsidRDefault="00DA0233" w:rsidP="00840181">
      <w:pPr>
        <w:rPr>
          <w:sz w:val="24"/>
          <w:szCs w:val="24"/>
        </w:rPr>
      </w:pPr>
    </w:p>
    <w:p w14:paraId="4765804E" w14:textId="3A33E760" w:rsidR="00840181" w:rsidRPr="006D5EAE" w:rsidRDefault="00840181" w:rsidP="00840181">
      <w:pPr>
        <w:rPr>
          <w:sz w:val="24"/>
          <w:szCs w:val="24"/>
        </w:rPr>
      </w:pPr>
      <w:r w:rsidRPr="006D5EAE">
        <w:rPr>
          <w:sz w:val="24"/>
          <w:szCs w:val="24"/>
        </w:rPr>
        <w:t>The Filters will be applied as follows:</w:t>
      </w:r>
    </w:p>
    <w:p w14:paraId="56BF642D" w14:textId="77777777" w:rsidR="00E46FC1" w:rsidRPr="006D5EAE" w:rsidRDefault="00E46FC1" w:rsidP="00840181">
      <w:pPr>
        <w:rPr>
          <w:sz w:val="24"/>
          <w:szCs w:val="24"/>
        </w:rPr>
      </w:pPr>
    </w:p>
    <w:p w14:paraId="1BF7F86B" w14:textId="5C7A5F8C" w:rsidR="00840181" w:rsidRPr="006D5EAE" w:rsidRDefault="00840181" w:rsidP="00840181">
      <w:pPr>
        <w:rPr>
          <w:sz w:val="24"/>
          <w:szCs w:val="24"/>
        </w:rPr>
      </w:pPr>
      <w:r w:rsidRPr="006D5EAE">
        <w:rPr>
          <w:sz w:val="24"/>
          <w:szCs w:val="24"/>
        </w:rPr>
        <w:t xml:space="preserve">Filter 1 will be used to select whether Cadent wishes to </w:t>
      </w:r>
      <w:proofErr w:type="gramStart"/>
      <w:r w:rsidRPr="006D5EAE">
        <w:rPr>
          <w:sz w:val="24"/>
          <w:szCs w:val="24"/>
        </w:rPr>
        <w:t>enter into</w:t>
      </w:r>
      <w:proofErr w:type="gramEnd"/>
      <w:r w:rsidRPr="006D5EAE">
        <w:rPr>
          <w:sz w:val="24"/>
          <w:szCs w:val="24"/>
        </w:rPr>
        <w:t xml:space="preserve"> a Call-Off Contract for the supply of either IT </w:t>
      </w:r>
      <w:r w:rsidR="00890337" w:rsidRPr="006D5EAE">
        <w:rPr>
          <w:sz w:val="24"/>
          <w:szCs w:val="24"/>
        </w:rPr>
        <w:t>Consultancy</w:t>
      </w:r>
      <w:r w:rsidRPr="006D5EAE">
        <w:rPr>
          <w:sz w:val="24"/>
          <w:szCs w:val="24"/>
        </w:rPr>
        <w:t xml:space="preserve"> </w:t>
      </w:r>
      <w:r w:rsidR="00890337" w:rsidRPr="006D5EAE">
        <w:rPr>
          <w:sz w:val="24"/>
          <w:szCs w:val="24"/>
        </w:rPr>
        <w:t>Services</w:t>
      </w:r>
      <w:r w:rsidRPr="006D5EAE">
        <w:rPr>
          <w:sz w:val="24"/>
          <w:szCs w:val="24"/>
        </w:rPr>
        <w:t xml:space="preserve"> or</w:t>
      </w:r>
      <w:r w:rsidR="006D5EAE" w:rsidRPr="006D5EAE">
        <w:rPr>
          <w:sz w:val="24"/>
          <w:szCs w:val="24"/>
        </w:rPr>
        <w:t xml:space="preserve"> IT </w:t>
      </w:r>
      <w:r w:rsidR="00890337" w:rsidRPr="006D5EAE">
        <w:rPr>
          <w:sz w:val="24"/>
          <w:szCs w:val="24"/>
        </w:rPr>
        <w:t>Tec</w:t>
      </w:r>
      <w:r w:rsidR="006D5EAE" w:rsidRPr="006D5EAE">
        <w:rPr>
          <w:sz w:val="24"/>
          <w:szCs w:val="24"/>
        </w:rPr>
        <w:t>hnical Capability</w:t>
      </w:r>
      <w:r w:rsidRPr="006D5EAE">
        <w:rPr>
          <w:sz w:val="24"/>
          <w:szCs w:val="24"/>
        </w:rPr>
        <w:t xml:space="preserve"> services (the latter being the supply of Temporary Workers to work on an Assignment as specified in more detail in the Call-Off Order.</w:t>
      </w:r>
    </w:p>
    <w:p w14:paraId="5E7FC33F" w14:textId="77777777" w:rsidR="00E46FC1" w:rsidRPr="006D5EAE" w:rsidRDefault="00E46FC1" w:rsidP="00840181">
      <w:pPr>
        <w:rPr>
          <w:sz w:val="24"/>
          <w:szCs w:val="24"/>
        </w:rPr>
      </w:pPr>
    </w:p>
    <w:p w14:paraId="1301F0AC" w14:textId="3CB2277B" w:rsidR="00840181" w:rsidRPr="006D5EAE" w:rsidRDefault="00840181" w:rsidP="00840181">
      <w:pPr>
        <w:rPr>
          <w:sz w:val="24"/>
          <w:szCs w:val="24"/>
        </w:rPr>
      </w:pPr>
      <w:r w:rsidRPr="006D5EAE">
        <w:rPr>
          <w:sz w:val="24"/>
          <w:szCs w:val="24"/>
        </w:rPr>
        <w:t>Filter 2 will be used to determine whether Cadent requires the consultancy services or the technical capability services (as the case may be) to be delivered onshore, offshore</w:t>
      </w:r>
      <w:r w:rsidR="001F0928" w:rsidRPr="006D5EAE">
        <w:rPr>
          <w:sz w:val="24"/>
          <w:szCs w:val="24"/>
        </w:rPr>
        <w:t>,</w:t>
      </w:r>
      <w:r w:rsidRPr="006D5EAE">
        <w:rPr>
          <w:sz w:val="24"/>
          <w:szCs w:val="24"/>
        </w:rPr>
        <w:t xml:space="preserve"> near shore</w:t>
      </w:r>
      <w:r w:rsidR="00316889" w:rsidRPr="006D5EAE">
        <w:rPr>
          <w:sz w:val="24"/>
          <w:szCs w:val="24"/>
        </w:rPr>
        <w:t xml:space="preserve"> or a combina</w:t>
      </w:r>
      <w:r w:rsidR="001F0928" w:rsidRPr="006D5EAE">
        <w:rPr>
          <w:sz w:val="24"/>
          <w:szCs w:val="24"/>
        </w:rPr>
        <w:t xml:space="preserve">tion of </w:t>
      </w:r>
      <w:r w:rsidR="0090644E" w:rsidRPr="006D5EAE">
        <w:rPr>
          <w:sz w:val="24"/>
          <w:szCs w:val="24"/>
        </w:rPr>
        <w:t>those</w:t>
      </w:r>
      <w:r w:rsidR="001F0928" w:rsidRPr="006D5EAE">
        <w:rPr>
          <w:sz w:val="24"/>
          <w:szCs w:val="24"/>
        </w:rPr>
        <w:t>.</w:t>
      </w:r>
    </w:p>
    <w:p w14:paraId="45F7520D" w14:textId="77777777" w:rsidR="00E46FC1" w:rsidRPr="006D5EAE" w:rsidRDefault="00E46FC1" w:rsidP="00840181">
      <w:pPr>
        <w:rPr>
          <w:sz w:val="24"/>
          <w:szCs w:val="24"/>
        </w:rPr>
      </w:pPr>
    </w:p>
    <w:p w14:paraId="4C7ABB1E" w14:textId="77777777" w:rsidR="00840181" w:rsidRPr="006D5EAE" w:rsidRDefault="00840181" w:rsidP="00840181">
      <w:pPr>
        <w:rPr>
          <w:sz w:val="24"/>
          <w:szCs w:val="24"/>
        </w:rPr>
      </w:pPr>
      <w:r w:rsidRPr="006D5EAE">
        <w:rPr>
          <w:b/>
          <w:bCs/>
          <w:sz w:val="24"/>
          <w:szCs w:val="24"/>
        </w:rPr>
        <w:t>Onshore</w:t>
      </w:r>
      <w:r w:rsidRPr="006D5EAE">
        <w:rPr>
          <w:sz w:val="24"/>
          <w:szCs w:val="24"/>
        </w:rPr>
        <w:t xml:space="preserve"> shall mean that the Supplier Staff are primarily located in the United Kingdom.</w:t>
      </w:r>
    </w:p>
    <w:p w14:paraId="1B69566D" w14:textId="77777777" w:rsidR="00840181" w:rsidRDefault="00840181" w:rsidP="00840181">
      <w:pPr>
        <w:rPr>
          <w:sz w:val="24"/>
          <w:szCs w:val="24"/>
        </w:rPr>
      </w:pPr>
      <w:r w:rsidRPr="006D5EAE">
        <w:rPr>
          <w:b/>
          <w:bCs/>
          <w:sz w:val="24"/>
          <w:szCs w:val="24"/>
        </w:rPr>
        <w:lastRenderedPageBreak/>
        <w:t>Near shore s</w:t>
      </w:r>
      <w:r w:rsidRPr="006D5EAE">
        <w:rPr>
          <w:sz w:val="24"/>
          <w:szCs w:val="24"/>
        </w:rPr>
        <w:t>hall mean that the Supplier Staff are primarily located in the European Economic Area.</w:t>
      </w:r>
    </w:p>
    <w:p w14:paraId="5F53230C" w14:textId="77777777" w:rsidR="00D53203" w:rsidRPr="006D5EAE" w:rsidRDefault="00D53203" w:rsidP="00840181">
      <w:pPr>
        <w:rPr>
          <w:sz w:val="24"/>
          <w:szCs w:val="24"/>
        </w:rPr>
      </w:pPr>
    </w:p>
    <w:p w14:paraId="332555FC" w14:textId="77777777" w:rsidR="00840181" w:rsidRPr="006D5EAE" w:rsidRDefault="00840181" w:rsidP="00840181">
      <w:pPr>
        <w:rPr>
          <w:sz w:val="24"/>
          <w:szCs w:val="24"/>
        </w:rPr>
      </w:pPr>
      <w:r w:rsidRPr="006D5EAE">
        <w:rPr>
          <w:b/>
          <w:bCs/>
          <w:sz w:val="24"/>
          <w:szCs w:val="24"/>
        </w:rPr>
        <w:t>Offshore</w:t>
      </w:r>
      <w:r w:rsidRPr="006D5EAE">
        <w:rPr>
          <w:sz w:val="24"/>
          <w:szCs w:val="24"/>
        </w:rPr>
        <w:t xml:space="preserve"> shall mean that the Supplier Staff are primarily located in a country other than the United Kingdom or the European Economic Area.</w:t>
      </w:r>
    </w:p>
    <w:p w14:paraId="3A607BD7" w14:textId="77777777" w:rsidR="00840181" w:rsidRDefault="00840181" w:rsidP="00840181"/>
    <w:p w14:paraId="7000D4BC" w14:textId="49FF654C" w:rsidR="007029B4" w:rsidRPr="00206842" w:rsidRDefault="00840181" w:rsidP="00840181">
      <w:pPr>
        <w:rPr>
          <w:sz w:val="24"/>
          <w:szCs w:val="24"/>
        </w:rPr>
      </w:pPr>
      <w:r w:rsidRPr="00D53203">
        <w:rPr>
          <w:sz w:val="24"/>
          <w:szCs w:val="24"/>
        </w:rPr>
        <w:t>Filter 3 sets out a non-exhaustive list of the types of services and product lines which may be required by Cadent to be delivered by the Supplier as part of the IT consultancy services or technical capability services. This list is indicative only and Cadent may call upon suppliers appointed to this Dynamic Purchasing System to provide services in relation to any IT service requirements it may have from time to time.</w:t>
      </w:r>
    </w:p>
    <w:p w14:paraId="71685086" w14:textId="77777777" w:rsidR="00FC1CF2" w:rsidRDefault="00FC1CF2" w:rsidP="00840181"/>
    <w:tbl>
      <w:tblPr>
        <w:tblStyle w:val="TableGrid"/>
        <w:tblW w:w="0" w:type="auto"/>
        <w:tblLook w:val="04A0" w:firstRow="1" w:lastRow="0" w:firstColumn="1" w:lastColumn="0" w:noHBand="0" w:noVBand="1"/>
      </w:tblPr>
      <w:tblGrid>
        <w:gridCol w:w="2464"/>
        <w:gridCol w:w="500"/>
        <w:gridCol w:w="1531"/>
        <w:gridCol w:w="500"/>
        <w:gridCol w:w="500"/>
        <w:gridCol w:w="3524"/>
      </w:tblGrid>
      <w:tr w:rsidR="009E1AD4" w:rsidRPr="00206842" w14:paraId="4CCF4B03" w14:textId="77777777" w:rsidTr="5AE4F109">
        <w:trPr>
          <w:trHeight w:val="315"/>
        </w:trPr>
        <w:tc>
          <w:tcPr>
            <w:tcW w:w="4900" w:type="dxa"/>
            <w:hideMark/>
          </w:tcPr>
          <w:p w14:paraId="699A7CD7"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Service Type</w:t>
            </w:r>
          </w:p>
        </w:tc>
        <w:tc>
          <w:tcPr>
            <w:tcW w:w="500" w:type="dxa"/>
            <w:hideMark/>
          </w:tcPr>
          <w:p w14:paraId="66B435FF"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 </w:t>
            </w:r>
          </w:p>
        </w:tc>
        <w:tc>
          <w:tcPr>
            <w:tcW w:w="2500" w:type="dxa"/>
            <w:hideMark/>
          </w:tcPr>
          <w:p w14:paraId="2A885513"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Location</w:t>
            </w:r>
          </w:p>
        </w:tc>
        <w:tc>
          <w:tcPr>
            <w:tcW w:w="500" w:type="dxa"/>
            <w:hideMark/>
          </w:tcPr>
          <w:p w14:paraId="4B3480C9"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 </w:t>
            </w:r>
          </w:p>
        </w:tc>
        <w:tc>
          <w:tcPr>
            <w:tcW w:w="500" w:type="dxa"/>
            <w:hideMark/>
          </w:tcPr>
          <w:p w14:paraId="383D726A"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 </w:t>
            </w:r>
          </w:p>
        </w:tc>
        <w:tc>
          <w:tcPr>
            <w:tcW w:w="8520" w:type="dxa"/>
            <w:hideMark/>
          </w:tcPr>
          <w:p w14:paraId="285B2CB8"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Services Description</w:t>
            </w:r>
          </w:p>
        </w:tc>
      </w:tr>
      <w:tr w:rsidR="009E1AD4" w:rsidRPr="00206842" w14:paraId="6A824736" w14:textId="77777777" w:rsidTr="5AE4F109">
        <w:trPr>
          <w:trHeight w:val="315"/>
        </w:trPr>
        <w:tc>
          <w:tcPr>
            <w:tcW w:w="4900" w:type="dxa"/>
            <w:hideMark/>
          </w:tcPr>
          <w:p w14:paraId="477D8675"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Filter 1</w:t>
            </w:r>
          </w:p>
        </w:tc>
        <w:tc>
          <w:tcPr>
            <w:tcW w:w="500" w:type="dxa"/>
            <w:noWrap/>
            <w:hideMark/>
          </w:tcPr>
          <w:p w14:paraId="359C2493"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2500" w:type="dxa"/>
            <w:hideMark/>
          </w:tcPr>
          <w:p w14:paraId="4233EEB9"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Filter 2</w:t>
            </w:r>
          </w:p>
        </w:tc>
        <w:tc>
          <w:tcPr>
            <w:tcW w:w="500" w:type="dxa"/>
            <w:noWrap/>
            <w:hideMark/>
          </w:tcPr>
          <w:p w14:paraId="5D5A0872"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noWrap/>
            <w:hideMark/>
          </w:tcPr>
          <w:p w14:paraId="6202E410"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23F4342C"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Filter 3</w:t>
            </w:r>
          </w:p>
        </w:tc>
      </w:tr>
      <w:tr w:rsidR="009E1AD4" w:rsidRPr="00206842" w14:paraId="56AC9CDC" w14:textId="77777777" w:rsidTr="5AE4F109">
        <w:trPr>
          <w:trHeight w:val="270"/>
        </w:trPr>
        <w:tc>
          <w:tcPr>
            <w:tcW w:w="4900" w:type="dxa"/>
            <w:vMerge w:val="restart"/>
            <w:hideMark/>
          </w:tcPr>
          <w:p w14:paraId="22F2CA8B" w14:textId="77777777" w:rsidR="009E1AD4" w:rsidRPr="00206842" w:rsidRDefault="009E1AD4" w:rsidP="00781294">
            <w:pPr>
              <w:suppressAutoHyphens/>
              <w:autoSpaceDN w:val="0"/>
              <w:spacing w:after="200" w:line="360" w:lineRule="auto"/>
              <w:rPr>
                <w:rFonts w:ascii="Arial" w:hAnsi="Arial" w:cs="Arial"/>
                <w:b/>
                <w:bCs/>
                <w:sz w:val="24"/>
                <w:szCs w:val="24"/>
              </w:rPr>
            </w:pPr>
            <w:r w:rsidRPr="00206842">
              <w:rPr>
                <w:rFonts w:ascii="Arial" w:hAnsi="Arial" w:cs="Arial"/>
                <w:b/>
                <w:bCs/>
                <w:sz w:val="24"/>
                <w:szCs w:val="24"/>
              </w:rPr>
              <w:t>IT Consultancy</w:t>
            </w:r>
            <w:r w:rsidRPr="00206842">
              <w:rPr>
                <w:rFonts w:ascii="Arial" w:hAnsi="Arial" w:cs="Arial"/>
                <w:b/>
                <w:bCs/>
                <w:sz w:val="24"/>
                <w:szCs w:val="24"/>
              </w:rPr>
              <w:br/>
            </w:r>
            <w:r w:rsidRPr="00206842">
              <w:rPr>
                <w:rFonts w:ascii="Arial" w:hAnsi="Arial" w:cs="Arial"/>
                <w:sz w:val="24"/>
                <w:szCs w:val="24"/>
              </w:rPr>
              <w:t xml:space="preserve">The provision of consultancy and advisory services including IT expertise for developing or enhancing strategies. Everything from business capability assessments through to the specification of the applications and toolsets to support a roadmap to deliver IT services. Digital Risk and Cyber Security, included </w:t>
            </w:r>
            <w:r w:rsidRPr="00206842">
              <w:rPr>
                <w:rFonts w:ascii="Arial" w:hAnsi="Arial" w:cs="Arial"/>
                <w:sz w:val="24"/>
                <w:szCs w:val="24"/>
              </w:rPr>
              <w:lastRenderedPageBreak/>
              <w:t>but not limited to: GRC (Governance, Risk and Compliance) primarily to NIS Regulations, Operational Technology, OFGEM support for Reopeners and RIIO3 to support a roadmap to deliver Cyber Security services.</w:t>
            </w:r>
          </w:p>
        </w:tc>
        <w:tc>
          <w:tcPr>
            <w:tcW w:w="500" w:type="dxa"/>
            <w:hideMark/>
          </w:tcPr>
          <w:p w14:paraId="57510DDD"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2500" w:type="dxa"/>
            <w:vMerge w:val="restart"/>
            <w:hideMark/>
          </w:tcPr>
          <w:p w14:paraId="5B8DA92E"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Onshore</w:t>
            </w:r>
          </w:p>
        </w:tc>
        <w:tc>
          <w:tcPr>
            <w:tcW w:w="500" w:type="dxa"/>
            <w:hideMark/>
          </w:tcPr>
          <w:p w14:paraId="64A03801"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1916696"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72197BBB"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Line of Business Strategy &amp; Capability Assessments.</w:t>
            </w:r>
          </w:p>
        </w:tc>
      </w:tr>
      <w:tr w:rsidR="009E1AD4" w:rsidRPr="00206842" w14:paraId="69C19B37" w14:textId="77777777" w:rsidTr="5AE4F109">
        <w:trPr>
          <w:trHeight w:val="315"/>
        </w:trPr>
        <w:tc>
          <w:tcPr>
            <w:tcW w:w="4900" w:type="dxa"/>
            <w:vMerge/>
            <w:hideMark/>
          </w:tcPr>
          <w:p w14:paraId="370A7B5D"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282B77A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269A057B"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DD101EB"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5643841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772F3999"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Transition and Transformation.</w:t>
            </w:r>
          </w:p>
        </w:tc>
      </w:tr>
      <w:tr w:rsidR="009E1AD4" w:rsidRPr="00206842" w14:paraId="3688D5F8" w14:textId="77777777" w:rsidTr="5AE4F109">
        <w:trPr>
          <w:trHeight w:val="315"/>
        </w:trPr>
        <w:tc>
          <w:tcPr>
            <w:tcW w:w="4900" w:type="dxa"/>
            <w:vMerge/>
            <w:hideMark/>
          </w:tcPr>
          <w:p w14:paraId="436C77E7"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3340BA7A"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553EA0D4"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5EACBBEE"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23B28E4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1408F417"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Operational Services and Service Management.</w:t>
            </w:r>
          </w:p>
        </w:tc>
      </w:tr>
      <w:tr w:rsidR="009E1AD4" w:rsidRPr="00206842" w14:paraId="10DCE46D" w14:textId="77777777" w:rsidTr="5AE4F109">
        <w:trPr>
          <w:trHeight w:val="315"/>
        </w:trPr>
        <w:tc>
          <w:tcPr>
            <w:tcW w:w="4900" w:type="dxa"/>
            <w:vMerge/>
            <w:hideMark/>
          </w:tcPr>
          <w:p w14:paraId="3A856D1A"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2BB7486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3161559C"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E1E125E"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62B3920A"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1DF66712"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Roadmaps for delivery of IT services.</w:t>
            </w:r>
          </w:p>
        </w:tc>
      </w:tr>
      <w:tr w:rsidR="009E1AD4" w:rsidRPr="00206842" w14:paraId="53F9358B" w14:textId="77777777" w:rsidTr="5AE4F109">
        <w:trPr>
          <w:trHeight w:val="780"/>
        </w:trPr>
        <w:tc>
          <w:tcPr>
            <w:tcW w:w="4900" w:type="dxa"/>
            <w:vMerge/>
            <w:hideMark/>
          </w:tcPr>
          <w:p w14:paraId="0533D6A2"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30BDBEB3"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7A499531"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3ED7388"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776169F"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084ED976" w14:textId="58EC1BD9"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 xml:space="preserve">Augmented Experiences and Hyper automation including Artificial </w:t>
            </w:r>
            <w:r w:rsidR="00B97D00" w:rsidRPr="00206842">
              <w:rPr>
                <w:rFonts w:ascii="Arial" w:hAnsi="Arial" w:cs="Arial"/>
                <w:sz w:val="24"/>
                <w:szCs w:val="24"/>
              </w:rPr>
              <w:t>Intelligence (</w:t>
            </w:r>
            <w:r w:rsidRPr="00206842">
              <w:rPr>
                <w:rFonts w:ascii="Arial" w:hAnsi="Arial" w:cs="Arial"/>
                <w:sz w:val="24"/>
                <w:szCs w:val="24"/>
              </w:rPr>
              <w:t xml:space="preserve">AI) included but not limited to the type of technology available, examples include AI applications, augmented decision making, data and analytics, virtual assistants and chatbots and AI technology. </w:t>
            </w:r>
          </w:p>
        </w:tc>
      </w:tr>
      <w:tr w:rsidR="009E1AD4" w:rsidRPr="00206842" w14:paraId="5FFDA978" w14:textId="77777777" w:rsidTr="5AE4F109">
        <w:trPr>
          <w:trHeight w:val="270"/>
        </w:trPr>
        <w:tc>
          <w:tcPr>
            <w:tcW w:w="4900" w:type="dxa"/>
            <w:vMerge/>
            <w:hideMark/>
          </w:tcPr>
          <w:p w14:paraId="1A87FFBF"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6E6B0B9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val="restart"/>
            <w:hideMark/>
          </w:tcPr>
          <w:p w14:paraId="1BA88B74"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Offshore</w:t>
            </w:r>
          </w:p>
        </w:tc>
        <w:tc>
          <w:tcPr>
            <w:tcW w:w="500" w:type="dxa"/>
            <w:hideMark/>
          </w:tcPr>
          <w:p w14:paraId="2BFAB4B0"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4BF28BB8"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32E6EC22"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Data Interoperability, including API Economy and Common Information Model.</w:t>
            </w:r>
          </w:p>
        </w:tc>
      </w:tr>
      <w:tr w:rsidR="009E1AD4" w:rsidRPr="00206842" w14:paraId="7B250844" w14:textId="77777777" w:rsidTr="5AE4F109">
        <w:trPr>
          <w:trHeight w:val="260"/>
        </w:trPr>
        <w:tc>
          <w:tcPr>
            <w:tcW w:w="4900" w:type="dxa"/>
            <w:vMerge/>
            <w:hideMark/>
          </w:tcPr>
          <w:p w14:paraId="215B479F"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45D76F3C"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74D32DC8"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64903B74"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0C45BD44"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6A7A914C"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Digital Natives, including Low/No Code.</w:t>
            </w:r>
          </w:p>
        </w:tc>
      </w:tr>
      <w:tr w:rsidR="009E1AD4" w:rsidRPr="00206842" w14:paraId="2F2FBD3C" w14:textId="77777777" w:rsidTr="5AE4F109">
        <w:trPr>
          <w:trHeight w:val="260"/>
        </w:trPr>
        <w:tc>
          <w:tcPr>
            <w:tcW w:w="4900" w:type="dxa"/>
            <w:vMerge/>
            <w:hideMark/>
          </w:tcPr>
          <w:p w14:paraId="56BB1BFA"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632D28A6"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567D588C"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21BAD072"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16DB7A3C"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7CED1AF2"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Risk assessment and management, Audit and reviews, Policies.</w:t>
            </w:r>
          </w:p>
        </w:tc>
      </w:tr>
      <w:tr w:rsidR="009E1AD4" w:rsidRPr="00206842" w14:paraId="23545C13" w14:textId="77777777" w:rsidTr="5AE4F109">
        <w:trPr>
          <w:trHeight w:val="260"/>
        </w:trPr>
        <w:tc>
          <w:tcPr>
            <w:tcW w:w="4900" w:type="dxa"/>
            <w:vMerge/>
            <w:hideMark/>
          </w:tcPr>
          <w:p w14:paraId="557B826F"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7E47BBC8"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20FBD13C"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7969BB9"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67E0F97F"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3CD06F8E"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Cyber Transformation, Security Strategy and Architecture.</w:t>
            </w:r>
          </w:p>
        </w:tc>
      </w:tr>
      <w:tr w:rsidR="009E1AD4" w:rsidRPr="00206842" w14:paraId="33B1259E" w14:textId="77777777" w:rsidTr="5AE4F109">
        <w:trPr>
          <w:trHeight w:val="520"/>
        </w:trPr>
        <w:tc>
          <w:tcPr>
            <w:tcW w:w="4900" w:type="dxa"/>
            <w:vMerge/>
            <w:hideMark/>
          </w:tcPr>
          <w:p w14:paraId="765D154C"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6C0700FD"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63BDD7D4"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050DCBD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D51B930"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433A6E95"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Managed security services including Crest accredited Security Operations Centre (SOC) and managed threat detection and response.</w:t>
            </w:r>
          </w:p>
        </w:tc>
      </w:tr>
      <w:tr w:rsidR="009E1AD4" w:rsidRPr="00206842" w14:paraId="68EA8521" w14:textId="77777777" w:rsidTr="5AE4F109">
        <w:trPr>
          <w:trHeight w:val="520"/>
        </w:trPr>
        <w:tc>
          <w:tcPr>
            <w:tcW w:w="4900" w:type="dxa"/>
            <w:vMerge/>
            <w:hideMark/>
          </w:tcPr>
          <w:p w14:paraId="2DFCEFEC"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5B8CFC30"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4AB393E8"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663DF648"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21E218A"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08F98EDE"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Incident Management including Cyber incident response, business continuity, disaster recovery and threat intelligence.</w:t>
            </w:r>
          </w:p>
        </w:tc>
      </w:tr>
      <w:tr w:rsidR="009E1AD4" w:rsidRPr="00206842" w14:paraId="57B0A742" w14:textId="77777777" w:rsidTr="5AE4F109">
        <w:trPr>
          <w:trHeight w:val="290"/>
        </w:trPr>
        <w:tc>
          <w:tcPr>
            <w:tcW w:w="4900" w:type="dxa"/>
            <w:vMerge/>
            <w:hideMark/>
          </w:tcPr>
          <w:p w14:paraId="080242D2"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59CA211E"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val="restart"/>
            <w:hideMark/>
          </w:tcPr>
          <w:p w14:paraId="3A6569E5"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Near Shore</w:t>
            </w:r>
            <w:r w:rsidRPr="00206842">
              <w:rPr>
                <w:rFonts w:ascii="Arial" w:hAnsi="Arial" w:cs="Arial"/>
                <w:sz w:val="24"/>
                <w:szCs w:val="24"/>
              </w:rPr>
              <w:br/>
              <w:t>(EU)</w:t>
            </w:r>
          </w:p>
        </w:tc>
        <w:tc>
          <w:tcPr>
            <w:tcW w:w="500" w:type="dxa"/>
            <w:hideMark/>
          </w:tcPr>
          <w:p w14:paraId="5F9C428B"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08B1ABDC"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231AD6D6"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Identity and Access Management (IAM).</w:t>
            </w:r>
          </w:p>
        </w:tc>
      </w:tr>
      <w:tr w:rsidR="009E1AD4" w:rsidRPr="00206842" w14:paraId="206000E3" w14:textId="77777777" w:rsidTr="5AE4F109">
        <w:trPr>
          <w:trHeight w:val="290"/>
        </w:trPr>
        <w:tc>
          <w:tcPr>
            <w:tcW w:w="4900" w:type="dxa"/>
            <w:vMerge/>
            <w:hideMark/>
          </w:tcPr>
          <w:p w14:paraId="2F0D6ED0"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3160E141"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6CAE3D39"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36F9FE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1C5645D9"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34C26316"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Data Security lifecycle management.</w:t>
            </w:r>
          </w:p>
        </w:tc>
      </w:tr>
      <w:tr w:rsidR="009E1AD4" w:rsidRPr="00206842" w14:paraId="30EE2558" w14:textId="77777777" w:rsidTr="5AE4F109">
        <w:trPr>
          <w:trHeight w:val="290"/>
        </w:trPr>
        <w:tc>
          <w:tcPr>
            <w:tcW w:w="4900" w:type="dxa"/>
            <w:vMerge/>
            <w:hideMark/>
          </w:tcPr>
          <w:p w14:paraId="1E0EB94B"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35E727E5"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7FF25820"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0F2BBEF6"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1C49963F"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4E15AF2D"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Roadmaps for delivery of DR&amp;S services.</w:t>
            </w:r>
          </w:p>
        </w:tc>
      </w:tr>
      <w:tr w:rsidR="009E1AD4" w:rsidRPr="00206842" w14:paraId="4606D857" w14:textId="77777777" w:rsidTr="5AE4F109">
        <w:trPr>
          <w:trHeight w:val="290"/>
        </w:trPr>
        <w:tc>
          <w:tcPr>
            <w:tcW w:w="4900" w:type="dxa"/>
            <w:vMerge/>
            <w:hideMark/>
          </w:tcPr>
          <w:p w14:paraId="3B1B6C33"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2612A21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33E123B9"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5F24421A"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0D08CDBE"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25C9B3E3"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Agile Consultancy</w:t>
            </w:r>
          </w:p>
        </w:tc>
      </w:tr>
      <w:tr w:rsidR="009E1AD4" w:rsidRPr="00206842" w14:paraId="27F88363" w14:textId="77777777" w:rsidTr="5AE4F109">
        <w:trPr>
          <w:trHeight w:val="300"/>
        </w:trPr>
        <w:tc>
          <w:tcPr>
            <w:tcW w:w="4900" w:type="dxa"/>
            <w:vMerge/>
            <w:hideMark/>
          </w:tcPr>
          <w:p w14:paraId="0FA66962"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7E259E0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042C730D"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38465A9E"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E0F2F45"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27955C09"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Operation Technology as a Service and Intelligent Edge.</w:t>
            </w:r>
          </w:p>
        </w:tc>
      </w:tr>
      <w:tr w:rsidR="009E1AD4" w:rsidRPr="00206842" w14:paraId="67C6F127" w14:textId="77777777" w:rsidTr="5AE4F109">
        <w:trPr>
          <w:trHeight w:val="315"/>
        </w:trPr>
        <w:tc>
          <w:tcPr>
            <w:tcW w:w="4900" w:type="dxa"/>
            <w:hideMark/>
          </w:tcPr>
          <w:p w14:paraId="03D536B3"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25A01A51"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0A1E4C21"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475B320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109B1E8C"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29EF98D5"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 </w:t>
            </w:r>
          </w:p>
        </w:tc>
      </w:tr>
      <w:tr w:rsidR="009E1AD4" w:rsidRPr="00206842" w14:paraId="248B7A62" w14:textId="77777777" w:rsidTr="5AE4F109">
        <w:trPr>
          <w:trHeight w:val="553"/>
        </w:trPr>
        <w:tc>
          <w:tcPr>
            <w:tcW w:w="4900" w:type="dxa"/>
            <w:vMerge w:val="restart"/>
            <w:hideMark/>
          </w:tcPr>
          <w:p w14:paraId="561E53D6" w14:textId="670A1885"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b/>
                <w:bCs/>
                <w:sz w:val="24"/>
                <w:szCs w:val="24"/>
              </w:rPr>
              <w:t>IT Technical Capability</w:t>
            </w:r>
            <w:r w:rsidRPr="00206842">
              <w:rPr>
                <w:rFonts w:ascii="Arial" w:hAnsi="Arial" w:cs="Arial"/>
                <w:sz w:val="24"/>
                <w:szCs w:val="24"/>
              </w:rPr>
              <w:br/>
              <w:t>Access to specific roles, capabilities and skillsets augmenting Cadent teams to fulfil product</w:t>
            </w:r>
            <w:r w:rsidR="78E34CDD" w:rsidRPr="00206842">
              <w:rPr>
                <w:rFonts w:ascii="Arial" w:hAnsi="Arial" w:cs="Arial"/>
                <w:sz w:val="24"/>
                <w:szCs w:val="24"/>
              </w:rPr>
              <w:t xml:space="preserve"> and platform</w:t>
            </w:r>
            <w:r w:rsidRPr="00206842">
              <w:rPr>
                <w:rFonts w:ascii="Arial" w:hAnsi="Arial" w:cs="Arial"/>
                <w:sz w:val="24"/>
                <w:szCs w:val="24"/>
              </w:rPr>
              <w:t xml:space="preserve"> needs based on Cadent’s current technologies and the future product pipeline, aligning to our scaled agile framework (SAFe) in line with our Architectural strategy</w:t>
            </w:r>
            <w:r w:rsidR="2D49140D" w:rsidRPr="00206842">
              <w:rPr>
                <w:rFonts w:ascii="Arial" w:hAnsi="Arial" w:cs="Arial"/>
                <w:sz w:val="24"/>
                <w:szCs w:val="24"/>
              </w:rPr>
              <w:t>.</w:t>
            </w:r>
          </w:p>
        </w:tc>
        <w:tc>
          <w:tcPr>
            <w:tcW w:w="500" w:type="dxa"/>
            <w:hideMark/>
          </w:tcPr>
          <w:p w14:paraId="64831D72"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2500" w:type="dxa"/>
            <w:vMerge/>
            <w:hideMark/>
          </w:tcPr>
          <w:p w14:paraId="150D7D0D"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41831F02"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5E496DE9"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420A69D9"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Software &amp; API Development &amp; UX Design. Roles included but not limited to: UX Designer, Software Developers - C#, .Net, Web API Full Stack Developers.</w:t>
            </w:r>
          </w:p>
        </w:tc>
      </w:tr>
      <w:tr w:rsidR="009E1AD4" w:rsidRPr="00206842" w14:paraId="6D6C4C0C" w14:textId="77777777" w:rsidTr="5AE4F109">
        <w:trPr>
          <w:trHeight w:val="290"/>
        </w:trPr>
        <w:tc>
          <w:tcPr>
            <w:tcW w:w="4900" w:type="dxa"/>
            <w:vMerge/>
            <w:hideMark/>
          </w:tcPr>
          <w:p w14:paraId="15E2BF32"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36CDA07B"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val="restart"/>
            <w:hideMark/>
          </w:tcPr>
          <w:p w14:paraId="099254D2" w14:textId="38B3FF70"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4DCCB05D"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4096C2D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72BD90E3"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Data Engineering, Data Science &amp; Artificial Intelligence (AI).</w:t>
            </w:r>
          </w:p>
        </w:tc>
      </w:tr>
      <w:tr w:rsidR="009E1AD4" w:rsidRPr="00206842" w14:paraId="6E000434" w14:textId="77777777" w:rsidTr="5AE4F109">
        <w:trPr>
          <w:trHeight w:val="585"/>
        </w:trPr>
        <w:tc>
          <w:tcPr>
            <w:tcW w:w="4900" w:type="dxa"/>
            <w:vMerge/>
            <w:hideMark/>
          </w:tcPr>
          <w:p w14:paraId="6EAE64AA"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3358B4C9"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6D1C5391"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72BEC5A1"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1BB09752"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60A9D292"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Agile Delivery &amp; Change Management. Roles included but not limited to: Release Train Engineer, Scrum Master, Business Analyst.</w:t>
            </w:r>
          </w:p>
        </w:tc>
      </w:tr>
      <w:tr w:rsidR="009E1AD4" w:rsidRPr="00206842" w14:paraId="6E119B59" w14:textId="77777777" w:rsidTr="5AE4F109">
        <w:trPr>
          <w:trHeight w:val="390"/>
        </w:trPr>
        <w:tc>
          <w:tcPr>
            <w:tcW w:w="4900" w:type="dxa"/>
            <w:vMerge/>
            <w:hideMark/>
          </w:tcPr>
          <w:p w14:paraId="11AE1E94"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5FD7C597"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73C42A0A"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478DA8F5"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2097AB6D"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75984811"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IT Architecture, covering Enterprise, Solutions, Security.</w:t>
            </w:r>
          </w:p>
        </w:tc>
      </w:tr>
      <w:tr w:rsidR="009E1AD4" w:rsidRPr="00206842" w14:paraId="66954F1B" w14:textId="77777777" w:rsidTr="5AE4F109">
        <w:trPr>
          <w:trHeight w:val="493"/>
        </w:trPr>
        <w:tc>
          <w:tcPr>
            <w:tcW w:w="4900" w:type="dxa"/>
            <w:vMerge/>
            <w:hideMark/>
          </w:tcPr>
          <w:p w14:paraId="3481AA2E"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6D6A827F"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2A1D2F89"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3CB555BD"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13A70BA1"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0A75DC69"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Testing &amp; DevSecOps. Roles included but not limited to: Test Quality Assurance, Test Automation.</w:t>
            </w:r>
          </w:p>
        </w:tc>
      </w:tr>
      <w:tr w:rsidR="009E1AD4" w:rsidRPr="00206842" w14:paraId="2ABCF471" w14:textId="77777777" w:rsidTr="5AE4F109">
        <w:trPr>
          <w:trHeight w:val="493"/>
        </w:trPr>
        <w:tc>
          <w:tcPr>
            <w:tcW w:w="4900" w:type="dxa"/>
            <w:vMerge/>
            <w:hideMark/>
          </w:tcPr>
          <w:p w14:paraId="0908AA09" w14:textId="77777777" w:rsidR="009E1AD4" w:rsidRPr="00206842" w:rsidRDefault="009E1AD4" w:rsidP="00781294">
            <w:pPr>
              <w:suppressAutoHyphens/>
              <w:autoSpaceDN w:val="0"/>
              <w:spacing w:after="200" w:line="360" w:lineRule="auto"/>
              <w:rPr>
                <w:rFonts w:ascii="Arial" w:hAnsi="Arial" w:cs="Arial"/>
                <w:b/>
                <w:bCs/>
                <w:sz w:val="24"/>
                <w:szCs w:val="24"/>
              </w:rPr>
            </w:pPr>
          </w:p>
        </w:tc>
        <w:tc>
          <w:tcPr>
            <w:tcW w:w="500" w:type="dxa"/>
            <w:hideMark/>
          </w:tcPr>
          <w:p w14:paraId="2C6FCBF9" w14:textId="77777777" w:rsidR="009E1AD4" w:rsidRPr="00206842" w:rsidRDefault="009E1AD4" w:rsidP="00781294">
            <w:pPr>
              <w:suppressAutoHyphens/>
              <w:autoSpaceDN w:val="0"/>
              <w:spacing w:after="200" w:line="360" w:lineRule="auto"/>
              <w:rPr>
                <w:rFonts w:ascii="Arial" w:hAnsi="Arial" w:cs="Arial"/>
                <w:sz w:val="24"/>
                <w:szCs w:val="24"/>
              </w:rPr>
            </w:pPr>
          </w:p>
        </w:tc>
        <w:tc>
          <w:tcPr>
            <w:tcW w:w="2500" w:type="dxa"/>
            <w:vMerge/>
            <w:hideMark/>
          </w:tcPr>
          <w:p w14:paraId="57F0EBD8"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509495E2" w14:textId="77777777" w:rsidR="009E1AD4" w:rsidRPr="00206842" w:rsidRDefault="009E1AD4" w:rsidP="00781294">
            <w:pPr>
              <w:suppressAutoHyphens/>
              <w:autoSpaceDN w:val="0"/>
              <w:spacing w:after="200" w:line="360" w:lineRule="auto"/>
              <w:rPr>
                <w:rFonts w:ascii="Arial" w:hAnsi="Arial" w:cs="Arial"/>
                <w:sz w:val="24"/>
                <w:szCs w:val="24"/>
              </w:rPr>
            </w:pPr>
          </w:p>
        </w:tc>
        <w:tc>
          <w:tcPr>
            <w:tcW w:w="500" w:type="dxa"/>
            <w:hideMark/>
          </w:tcPr>
          <w:p w14:paraId="6F46E5D3" w14:textId="77777777" w:rsidR="009E1AD4" w:rsidRPr="00206842" w:rsidRDefault="009E1AD4" w:rsidP="00781294">
            <w:pPr>
              <w:suppressAutoHyphens/>
              <w:autoSpaceDN w:val="0"/>
              <w:spacing w:after="200" w:line="360" w:lineRule="auto"/>
              <w:rPr>
                <w:rFonts w:ascii="Arial" w:hAnsi="Arial" w:cs="Arial"/>
                <w:sz w:val="24"/>
                <w:szCs w:val="24"/>
              </w:rPr>
            </w:pPr>
          </w:p>
        </w:tc>
        <w:tc>
          <w:tcPr>
            <w:tcW w:w="8520" w:type="dxa"/>
            <w:hideMark/>
          </w:tcPr>
          <w:p w14:paraId="0DEBD0FB" w14:textId="77777777" w:rsidR="009E1AD4" w:rsidRPr="00206842" w:rsidRDefault="009E1AD4" w:rsidP="00781294">
            <w:pPr>
              <w:suppressAutoHyphens/>
              <w:autoSpaceDN w:val="0"/>
              <w:spacing w:after="200" w:line="360" w:lineRule="auto"/>
              <w:rPr>
                <w:rFonts w:ascii="Arial" w:hAnsi="Arial" w:cs="Arial"/>
                <w:sz w:val="24"/>
                <w:szCs w:val="24"/>
              </w:rPr>
            </w:pPr>
            <w:r w:rsidRPr="00206842">
              <w:rPr>
                <w:rFonts w:ascii="Arial" w:hAnsi="Arial" w:cs="Arial"/>
                <w:sz w:val="24"/>
                <w:szCs w:val="24"/>
              </w:rPr>
              <w:t>Providing resource to support our core capabilities in GIS, Workforce Management, Asset Management</w:t>
            </w:r>
          </w:p>
        </w:tc>
      </w:tr>
    </w:tbl>
    <w:p w14:paraId="472A9366" w14:textId="77777777" w:rsidR="00840181" w:rsidRPr="00840181" w:rsidRDefault="00840181" w:rsidP="00840181"/>
    <w:p w14:paraId="00000018" w14:textId="77777777" w:rsidR="00DF0C77" w:rsidRPr="00370C70" w:rsidRDefault="00CD2062" w:rsidP="001B56FE">
      <w:pPr>
        <w:pStyle w:val="Heading1"/>
        <w:rPr>
          <w:sz w:val="32"/>
        </w:rPr>
      </w:pPr>
      <w:bookmarkStart w:id="1" w:name="_Toc150169992"/>
      <w:r w:rsidRPr="00370C70">
        <w:rPr>
          <w:b/>
          <w:sz w:val="28"/>
        </w:rPr>
        <w:lastRenderedPageBreak/>
        <w:t>Exclusions:</w:t>
      </w:r>
      <w:bookmarkEnd w:id="1"/>
      <w:r w:rsidRPr="00370C70">
        <w:rPr>
          <w:sz w:val="32"/>
        </w:rPr>
        <w:t xml:space="preserve"> </w:t>
      </w:r>
    </w:p>
    <w:p w14:paraId="00000019" w14:textId="28A76F34" w:rsidR="00DF0C77" w:rsidRPr="00F311B4" w:rsidRDefault="00CD2062">
      <w:pPr>
        <w:rPr>
          <w:sz w:val="24"/>
        </w:rPr>
      </w:pPr>
      <w:r w:rsidRPr="00F311B4">
        <w:rPr>
          <w:sz w:val="24"/>
        </w:rPr>
        <w:t>The following services and goods are outside the scope of th</w:t>
      </w:r>
      <w:r w:rsidR="0033609B">
        <w:rPr>
          <w:sz w:val="24"/>
        </w:rPr>
        <w:t xml:space="preserve">e </w:t>
      </w:r>
      <w:r w:rsidR="00775719">
        <w:rPr>
          <w:sz w:val="24"/>
        </w:rPr>
        <w:t>Dynamic Purchasing System Contract</w:t>
      </w:r>
      <w:r w:rsidRPr="00F311B4">
        <w:rPr>
          <w:sz w:val="24"/>
        </w:rPr>
        <w:t xml:space="preserve">: </w:t>
      </w:r>
    </w:p>
    <w:p w14:paraId="0000001C" w14:textId="233A0E72" w:rsidR="00DF0C77" w:rsidRDefault="00CD2062" w:rsidP="00E36B60">
      <w:pPr>
        <w:rPr>
          <w:sz w:val="24"/>
        </w:rPr>
      </w:pPr>
      <w:r w:rsidRPr="00F311B4">
        <w:rPr>
          <w:sz w:val="24"/>
        </w:rPr>
        <w:t xml:space="preserve">(b) </w:t>
      </w:r>
      <w:r w:rsidR="00E36B60">
        <w:rPr>
          <w:sz w:val="24"/>
        </w:rPr>
        <w:t>stand-alone hardware</w:t>
      </w:r>
      <w:r w:rsidR="009F4350">
        <w:rPr>
          <w:sz w:val="24"/>
        </w:rPr>
        <w:t xml:space="preserve"> and</w:t>
      </w:r>
      <w:r w:rsidR="008D3242">
        <w:rPr>
          <w:sz w:val="24"/>
        </w:rPr>
        <w:t xml:space="preserve">/or peripherals </w:t>
      </w:r>
      <w:proofErr w:type="gramStart"/>
      <w:r w:rsidR="009F4350">
        <w:rPr>
          <w:sz w:val="24"/>
        </w:rPr>
        <w:t>supplies</w:t>
      </w:r>
      <w:r w:rsidR="003A4FC3">
        <w:rPr>
          <w:sz w:val="24"/>
        </w:rPr>
        <w:t>;</w:t>
      </w:r>
      <w:proofErr w:type="gramEnd"/>
    </w:p>
    <w:p w14:paraId="5A9B1FF8" w14:textId="2C3250CC" w:rsidR="003A4FC3" w:rsidRPr="00F311B4" w:rsidRDefault="003A4FC3" w:rsidP="00E36B60">
      <w:pPr>
        <w:rPr>
          <w:sz w:val="24"/>
        </w:rPr>
      </w:pPr>
      <w:r>
        <w:rPr>
          <w:sz w:val="24"/>
        </w:rPr>
        <w:t>(c) stand-alone</w:t>
      </w:r>
      <w:r w:rsidR="0096373F">
        <w:rPr>
          <w:sz w:val="24"/>
        </w:rPr>
        <w:t xml:space="preserve"> goods purchases.</w:t>
      </w:r>
    </w:p>
    <w:p w14:paraId="0000001D" w14:textId="77777777" w:rsidR="00DF0C77" w:rsidRDefault="00DF0C77"/>
    <w:p w14:paraId="0D425891" w14:textId="77777777" w:rsidR="00857E0B" w:rsidRDefault="00CD2062" w:rsidP="001B56FE">
      <w:pPr>
        <w:pStyle w:val="Heading1"/>
        <w:numPr>
          <w:ilvl w:val="0"/>
          <w:numId w:val="4"/>
        </w:numPr>
        <w:rPr>
          <w:b/>
          <w:sz w:val="28"/>
          <w:szCs w:val="28"/>
        </w:rPr>
      </w:pPr>
      <w:bookmarkStart w:id="2" w:name="_Toc150169993"/>
      <w:r w:rsidRPr="00370C70">
        <w:rPr>
          <w:b/>
          <w:sz w:val="28"/>
          <w:szCs w:val="28"/>
        </w:rPr>
        <w:t xml:space="preserve">Our </w:t>
      </w:r>
      <w:r w:rsidR="00FF4EF5">
        <w:rPr>
          <w:b/>
          <w:sz w:val="28"/>
          <w:szCs w:val="28"/>
        </w:rPr>
        <w:t>Mandatory Policies</w:t>
      </w:r>
      <w:bookmarkEnd w:id="2"/>
    </w:p>
    <w:p w14:paraId="0000001F" w14:textId="679E43D8" w:rsidR="00DF0C77" w:rsidRPr="00857E0B" w:rsidRDefault="00857E0B" w:rsidP="00857E0B">
      <w:pPr>
        <w:pStyle w:val="Heading1"/>
        <w:ind w:left="360"/>
        <w:rPr>
          <w:bCs/>
          <w:sz w:val="28"/>
          <w:szCs w:val="28"/>
        </w:rPr>
      </w:pPr>
      <w:bookmarkStart w:id="3" w:name="_Toc150169994"/>
      <w:r w:rsidRPr="00206842">
        <w:rPr>
          <w:bCs/>
          <w:sz w:val="24"/>
          <w:szCs w:val="24"/>
        </w:rPr>
        <w:t xml:space="preserve">The Suppliers must comply with Cadent’s </w:t>
      </w:r>
      <w:r w:rsidR="0068707C" w:rsidRPr="00206842">
        <w:rPr>
          <w:bCs/>
          <w:sz w:val="24"/>
          <w:szCs w:val="24"/>
        </w:rPr>
        <w:t xml:space="preserve">Supplier Code of Conduct </w:t>
      </w:r>
      <w:hyperlink r:id="rId11" w:history="1">
        <w:r w:rsidR="00461C69" w:rsidRPr="003B1324">
          <w:rPr>
            <w:rStyle w:val="Hyperlink"/>
            <w:sz w:val="24"/>
            <w:szCs w:val="24"/>
          </w:rPr>
          <w:t>https://cadentgas.com/nggdwsdev/media/Downloads/Supplier-Code-of-Conduct.pdf</w:t>
        </w:r>
      </w:hyperlink>
      <w:r w:rsidR="00461C69" w:rsidRPr="007164CA">
        <w:rPr>
          <w:sz w:val="24"/>
          <w:szCs w:val="24"/>
        </w:rPr>
        <w:t>.</w:t>
      </w:r>
      <w:bookmarkEnd w:id="3"/>
    </w:p>
    <w:p w14:paraId="00000020" w14:textId="77777777" w:rsidR="00DF0C77" w:rsidRDefault="00DF0C77"/>
    <w:p w14:paraId="00000043" w14:textId="4F78AA6A" w:rsidR="00DF0C77" w:rsidRPr="00B159DB" w:rsidRDefault="00CD2062" w:rsidP="001B56FE">
      <w:pPr>
        <w:pStyle w:val="Heading1"/>
        <w:rPr>
          <w:b/>
          <w:sz w:val="28"/>
        </w:rPr>
      </w:pPr>
      <w:bookmarkStart w:id="4" w:name="_Toc150169995"/>
      <w:r w:rsidRPr="00B159DB">
        <w:rPr>
          <w:b/>
          <w:sz w:val="28"/>
        </w:rPr>
        <w:t xml:space="preserve">2. </w:t>
      </w:r>
      <w:r w:rsidR="001B56FE" w:rsidRPr="00B159DB">
        <w:rPr>
          <w:b/>
          <w:sz w:val="28"/>
        </w:rPr>
        <w:t>General Requirements</w:t>
      </w:r>
      <w:bookmarkEnd w:id="4"/>
    </w:p>
    <w:p w14:paraId="00000044" w14:textId="77777777" w:rsidR="00DF0C77" w:rsidRPr="00B159DB" w:rsidRDefault="00CD2062">
      <w:pPr>
        <w:rPr>
          <w:sz w:val="24"/>
        </w:rPr>
      </w:pPr>
      <w:r w:rsidRPr="00B159DB">
        <w:rPr>
          <w:sz w:val="24"/>
        </w:rPr>
        <w:t>These are our general requirements.  Supplier responsibilities shall include:</w:t>
      </w:r>
    </w:p>
    <w:p w14:paraId="00000046" w14:textId="0875BC3C" w:rsidR="00DF0C77" w:rsidRPr="00B159DB" w:rsidRDefault="00CD2062" w:rsidP="001B56FE">
      <w:pPr>
        <w:pStyle w:val="Heading1"/>
        <w:rPr>
          <w:b/>
          <w:sz w:val="28"/>
        </w:rPr>
      </w:pPr>
      <w:bookmarkStart w:id="5" w:name="_Toc150169996"/>
      <w:r w:rsidRPr="00B159DB">
        <w:rPr>
          <w:b/>
          <w:sz w:val="28"/>
        </w:rPr>
        <w:t xml:space="preserve">2.1 </w:t>
      </w:r>
      <w:r w:rsidR="001B56FE" w:rsidRPr="00B159DB">
        <w:rPr>
          <w:b/>
          <w:sz w:val="28"/>
        </w:rPr>
        <w:t>General</w:t>
      </w:r>
      <w:bookmarkEnd w:id="5"/>
    </w:p>
    <w:p w14:paraId="00000049" w14:textId="5DF522E1" w:rsidR="00DF0C77" w:rsidRPr="00B159DB" w:rsidRDefault="00CD2062">
      <w:pPr>
        <w:rPr>
          <w:sz w:val="24"/>
        </w:rPr>
      </w:pPr>
      <w:r w:rsidRPr="00B159DB">
        <w:rPr>
          <w:sz w:val="24"/>
        </w:rPr>
        <w:t>2.1</w:t>
      </w:r>
      <w:r w:rsidR="00113BD3">
        <w:rPr>
          <w:sz w:val="24"/>
        </w:rPr>
        <w:t>.1</w:t>
      </w:r>
      <w:r w:rsidR="00113BD3">
        <w:rPr>
          <w:sz w:val="24"/>
        </w:rPr>
        <w:tab/>
      </w:r>
      <w:r w:rsidRPr="00B159DB">
        <w:rPr>
          <w:sz w:val="24"/>
        </w:rPr>
        <w:t xml:space="preserve">Undertaking to meet all </w:t>
      </w:r>
      <w:r w:rsidR="00E23C6A">
        <w:rPr>
          <w:sz w:val="24"/>
        </w:rPr>
        <w:t>Cadent</w:t>
      </w:r>
      <w:r w:rsidRPr="00B159DB">
        <w:rPr>
          <w:sz w:val="24"/>
        </w:rPr>
        <w:t xml:space="preserve"> requirements as </w:t>
      </w:r>
      <w:proofErr w:type="gramStart"/>
      <w:r w:rsidRPr="00B159DB">
        <w:rPr>
          <w:sz w:val="24"/>
        </w:rPr>
        <w:t>agreed;</w:t>
      </w:r>
      <w:proofErr w:type="gramEnd"/>
    </w:p>
    <w:p w14:paraId="0000004A" w14:textId="043366C6" w:rsidR="00DF0C77" w:rsidRPr="00B159DB" w:rsidRDefault="00CD2062">
      <w:pPr>
        <w:rPr>
          <w:sz w:val="24"/>
        </w:rPr>
      </w:pPr>
      <w:r w:rsidRPr="00B159DB">
        <w:rPr>
          <w:sz w:val="24"/>
        </w:rPr>
        <w:t>2.1.</w:t>
      </w:r>
      <w:r w:rsidR="00E26560">
        <w:rPr>
          <w:sz w:val="24"/>
        </w:rPr>
        <w:t>2</w:t>
      </w:r>
      <w:r w:rsidRPr="00B159DB">
        <w:rPr>
          <w:sz w:val="24"/>
        </w:rPr>
        <w:tab/>
        <w:t xml:space="preserve">Providing a support function to deal with </w:t>
      </w:r>
      <w:r w:rsidR="00E23C6A">
        <w:rPr>
          <w:sz w:val="24"/>
        </w:rPr>
        <w:t>Cadent</w:t>
      </w:r>
      <w:r w:rsidRPr="00B159DB">
        <w:rPr>
          <w:sz w:val="24"/>
        </w:rPr>
        <w:t xml:space="preserve"> enquiries and </w:t>
      </w:r>
      <w:proofErr w:type="gramStart"/>
      <w:r w:rsidRPr="00B159DB">
        <w:rPr>
          <w:sz w:val="24"/>
        </w:rPr>
        <w:t>issues;</w:t>
      </w:r>
      <w:proofErr w:type="gramEnd"/>
      <w:r w:rsidRPr="00B159DB">
        <w:rPr>
          <w:sz w:val="24"/>
        </w:rPr>
        <w:t xml:space="preserve"> </w:t>
      </w:r>
    </w:p>
    <w:p w14:paraId="0000004B" w14:textId="1E29CA99" w:rsidR="00DF0C77" w:rsidRPr="00B159DB" w:rsidRDefault="00CD2062">
      <w:pPr>
        <w:rPr>
          <w:sz w:val="24"/>
        </w:rPr>
      </w:pPr>
      <w:r w:rsidRPr="00B159DB">
        <w:rPr>
          <w:sz w:val="24"/>
        </w:rPr>
        <w:t>2.1.</w:t>
      </w:r>
      <w:r w:rsidR="00E26560">
        <w:rPr>
          <w:sz w:val="24"/>
        </w:rPr>
        <w:t>3</w:t>
      </w:r>
      <w:r w:rsidRPr="00B159DB">
        <w:rPr>
          <w:sz w:val="24"/>
        </w:rPr>
        <w:tab/>
        <w:t xml:space="preserve">Complying with Call-Off Contract service levels and any reporting </w:t>
      </w:r>
      <w:proofErr w:type="gramStart"/>
      <w:r w:rsidRPr="00B159DB">
        <w:rPr>
          <w:sz w:val="24"/>
        </w:rPr>
        <w:t>requirements;</w:t>
      </w:r>
      <w:proofErr w:type="gramEnd"/>
    </w:p>
    <w:p w14:paraId="0000004C" w14:textId="04A390E7" w:rsidR="00DF0C77" w:rsidRPr="00B159DB" w:rsidRDefault="00CD2062">
      <w:pPr>
        <w:rPr>
          <w:sz w:val="24"/>
        </w:rPr>
      </w:pPr>
      <w:r w:rsidRPr="00B159DB">
        <w:rPr>
          <w:sz w:val="24"/>
        </w:rPr>
        <w:t>2.1.</w:t>
      </w:r>
      <w:r w:rsidR="00E26560">
        <w:rPr>
          <w:sz w:val="24"/>
        </w:rPr>
        <w:t>4</w:t>
      </w:r>
      <w:r w:rsidRPr="00B159DB">
        <w:rPr>
          <w:sz w:val="24"/>
        </w:rPr>
        <w:tab/>
        <w:t xml:space="preserve">Providing a dedicated Supplier </w:t>
      </w:r>
      <w:r w:rsidR="00E23C6A">
        <w:rPr>
          <w:sz w:val="24"/>
        </w:rPr>
        <w:t>Dynamic Purchasing System</w:t>
      </w:r>
      <w:r w:rsidRPr="00B159DB">
        <w:rPr>
          <w:sz w:val="24"/>
        </w:rPr>
        <w:t xml:space="preserve"> Manager to manage the relationship between </w:t>
      </w:r>
      <w:r w:rsidR="00E23C6A">
        <w:rPr>
          <w:sz w:val="24"/>
        </w:rPr>
        <w:t xml:space="preserve">Cadent </w:t>
      </w:r>
      <w:r w:rsidRPr="00B159DB">
        <w:rPr>
          <w:sz w:val="24"/>
        </w:rPr>
        <w:t xml:space="preserve">and the Supplier under this </w:t>
      </w:r>
      <w:r w:rsidR="00E23C6A">
        <w:rPr>
          <w:sz w:val="24"/>
        </w:rPr>
        <w:t>Dynamic Purchasing System</w:t>
      </w:r>
      <w:r w:rsidRPr="00B159DB">
        <w:rPr>
          <w:sz w:val="24"/>
        </w:rPr>
        <w:t xml:space="preserve"> Contract, to resolve any issues arising from this </w:t>
      </w:r>
      <w:r w:rsidR="00E23C6A">
        <w:rPr>
          <w:sz w:val="24"/>
        </w:rPr>
        <w:t>Dynamic Purchasing System</w:t>
      </w:r>
      <w:r w:rsidRPr="00B159DB">
        <w:rPr>
          <w:sz w:val="24"/>
        </w:rPr>
        <w:t xml:space="preserve"> Contract and to implement any improvements/innovations during the </w:t>
      </w:r>
      <w:r w:rsidR="00E23C6A">
        <w:rPr>
          <w:sz w:val="24"/>
        </w:rPr>
        <w:t>Dynamic Purchasing System</w:t>
      </w:r>
      <w:r w:rsidRPr="00B159DB">
        <w:rPr>
          <w:sz w:val="24"/>
        </w:rPr>
        <w:t xml:space="preserve"> Contract Period; and</w:t>
      </w:r>
    </w:p>
    <w:p w14:paraId="0000004D" w14:textId="57BDC979" w:rsidR="00DF0C77" w:rsidRPr="00B159DB" w:rsidRDefault="00CD2062">
      <w:pPr>
        <w:rPr>
          <w:sz w:val="24"/>
        </w:rPr>
      </w:pPr>
      <w:r w:rsidRPr="00B159DB">
        <w:rPr>
          <w:sz w:val="24"/>
        </w:rPr>
        <w:t>2.1.</w:t>
      </w:r>
      <w:r w:rsidR="00E26560">
        <w:rPr>
          <w:sz w:val="24"/>
        </w:rPr>
        <w:t>5</w:t>
      </w:r>
      <w:r w:rsidRPr="00B159DB">
        <w:rPr>
          <w:sz w:val="24"/>
        </w:rPr>
        <w:tab/>
        <w:t xml:space="preserve">Complying with the </w:t>
      </w:r>
      <w:r w:rsidR="00E23C6A">
        <w:rPr>
          <w:sz w:val="24"/>
        </w:rPr>
        <w:t>Cadent</w:t>
      </w:r>
      <w:r w:rsidRPr="00B159DB">
        <w:rPr>
          <w:sz w:val="24"/>
        </w:rPr>
        <w:t xml:space="preserve"> Management Information requirements.</w:t>
      </w:r>
    </w:p>
    <w:p w14:paraId="0000004E" w14:textId="77777777" w:rsidR="00DF0C77" w:rsidRPr="00B159DB" w:rsidRDefault="00DF0C77">
      <w:pPr>
        <w:rPr>
          <w:sz w:val="24"/>
        </w:rPr>
      </w:pPr>
    </w:p>
    <w:p w14:paraId="0000004F" w14:textId="7D5BC508" w:rsidR="00DF0C77" w:rsidRPr="00B159DB" w:rsidRDefault="00CD2062" w:rsidP="001B56FE">
      <w:pPr>
        <w:pStyle w:val="Heading1"/>
        <w:rPr>
          <w:b/>
          <w:sz w:val="24"/>
        </w:rPr>
      </w:pPr>
      <w:bookmarkStart w:id="6" w:name="_Toc150169997"/>
      <w:r w:rsidRPr="00B159DB">
        <w:rPr>
          <w:b/>
          <w:sz w:val="28"/>
        </w:rPr>
        <w:t xml:space="preserve">2.2 </w:t>
      </w:r>
      <w:r w:rsidR="001B56FE" w:rsidRPr="00B159DB">
        <w:rPr>
          <w:b/>
          <w:sz w:val="28"/>
        </w:rPr>
        <w:t>Pricing Transparency</w:t>
      </w:r>
      <w:bookmarkEnd w:id="6"/>
    </w:p>
    <w:p w14:paraId="00000050" w14:textId="3BB22C4A" w:rsidR="00DF0C77" w:rsidRPr="00B159DB" w:rsidRDefault="00CD2062">
      <w:pPr>
        <w:rPr>
          <w:sz w:val="24"/>
        </w:rPr>
      </w:pPr>
      <w:r w:rsidRPr="00B159DB">
        <w:rPr>
          <w:sz w:val="24"/>
        </w:rPr>
        <w:t xml:space="preserve">2.2.1 </w:t>
      </w:r>
      <w:r w:rsidRPr="00B159DB">
        <w:rPr>
          <w:sz w:val="24"/>
        </w:rPr>
        <w:tab/>
        <w:t xml:space="preserve">When responding to a Further Competition Procedure the Supplier shall provide information as required by </w:t>
      </w:r>
      <w:r w:rsidR="00E23C6A">
        <w:rPr>
          <w:sz w:val="24"/>
        </w:rPr>
        <w:t>Cadent</w:t>
      </w:r>
      <w:r w:rsidRPr="00B159DB">
        <w:rPr>
          <w:sz w:val="24"/>
        </w:rPr>
        <w:t xml:space="preserve"> to enable </w:t>
      </w:r>
      <w:r w:rsidR="00E23C6A">
        <w:rPr>
          <w:sz w:val="24"/>
        </w:rPr>
        <w:t>Cadent</w:t>
      </w:r>
      <w:r w:rsidRPr="00B159DB">
        <w:rPr>
          <w:sz w:val="24"/>
        </w:rPr>
        <w:t xml:space="preserve"> to both understand the overall cost of the key components of the Supplier’s offer under the Further Competition Procedure and the overall value for money this provides for the period of the Call-Off Contract.</w:t>
      </w:r>
    </w:p>
    <w:p w14:paraId="00000051" w14:textId="77777777" w:rsidR="00DF0C77" w:rsidRPr="00B159DB" w:rsidRDefault="00DF0C77">
      <w:pPr>
        <w:rPr>
          <w:sz w:val="24"/>
        </w:rPr>
      </w:pPr>
    </w:p>
    <w:p w14:paraId="00000052" w14:textId="31BD89C4" w:rsidR="00DF0C77" w:rsidRPr="00B159DB" w:rsidRDefault="00CD2062" w:rsidP="001B56FE">
      <w:pPr>
        <w:pStyle w:val="Heading1"/>
        <w:rPr>
          <w:b/>
          <w:sz w:val="28"/>
        </w:rPr>
      </w:pPr>
      <w:bookmarkStart w:id="7" w:name="_Toc150169998"/>
      <w:r w:rsidRPr="00B159DB">
        <w:rPr>
          <w:b/>
          <w:sz w:val="28"/>
        </w:rPr>
        <w:lastRenderedPageBreak/>
        <w:t xml:space="preserve">2.3 </w:t>
      </w:r>
      <w:r w:rsidR="001B56FE" w:rsidRPr="00B159DB">
        <w:rPr>
          <w:b/>
          <w:sz w:val="28"/>
        </w:rPr>
        <w:t>Continuous Improvement – Best Practice/Standards</w:t>
      </w:r>
      <w:bookmarkEnd w:id="7"/>
    </w:p>
    <w:p w14:paraId="00000053" w14:textId="5233799F" w:rsidR="00DF0C77" w:rsidRPr="00B159DB" w:rsidRDefault="00CD2062">
      <w:pPr>
        <w:rPr>
          <w:sz w:val="24"/>
        </w:rPr>
      </w:pPr>
      <w:r w:rsidRPr="00B159DB">
        <w:rPr>
          <w:sz w:val="24"/>
        </w:rPr>
        <w:t xml:space="preserve">2.3.1 The Supplier must where possible apply continuous improvement disciplines and techniques to the Services. Any future changes to the </w:t>
      </w:r>
      <w:r w:rsidR="00E23C6A">
        <w:rPr>
          <w:sz w:val="24"/>
        </w:rPr>
        <w:t>Dynamic Purchasing System</w:t>
      </w:r>
      <w:r w:rsidRPr="00B159DB">
        <w:rPr>
          <w:sz w:val="24"/>
        </w:rPr>
        <w:t xml:space="preserve"> for processes and best practices must where relevant be adopted.</w:t>
      </w:r>
    </w:p>
    <w:p w14:paraId="00000054" w14:textId="77777777" w:rsidR="00DF0C77" w:rsidRPr="00B159DB" w:rsidRDefault="00DF0C77">
      <w:pPr>
        <w:rPr>
          <w:sz w:val="24"/>
        </w:rPr>
      </w:pPr>
    </w:p>
    <w:p w14:paraId="00000055" w14:textId="70C81E0E" w:rsidR="00DF0C77" w:rsidRPr="00B159DB" w:rsidRDefault="00CD2062" w:rsidP="001B56FE">
      <w:pPr>
        <w:pStyle w:val="Heading1"/>
        <w:rPr>
          <w:b/>
          <w:sz w:val="28"/>
        </w:rPr>
      </w:pPr>
      <w:bookmarkStart w:id="8" w:name="_Toc150169999"/>
      <w:r w:rsidRPr="00B159DB">
        <w:rPr>
          <w:b/>
          <w:sz w:val="28"/>
        </w:rPr>
        <w:t xml:space="preserve">2.4 </w:t>
      </w:r>
      <w:r w:rsidR="001B56FE" w:rsidRPr="00B159DB">
        <w:rPr>
          <w:b/>
          <w:sz w:val="28"/>
        </w:rPr>
        <w:t>Customer Service</w:t>
      </w:r>
      <w:bookmarkEnd w:id="8"/>
    </w:p>
    <w:p w14:paraId="00000056" w14:textId="10580D54" w:rsidR="00DF0C77" w:rsidRPr="00B159DB" w:rsidRDefault="00CD2062">
      <w:pPr>
        <w:rPr>
          <w:sz w:val="24"/>
        </w:rPr>
      </w:pPr>
      <w:r w:rsidRPr="00B159DB">
        <w:rPr>
          <w:sz w:val="24"/>
        </w:rPr>
        <w:t>2.4.1. The Supplier commits to reference and measure their processes and procedures against the requirements of BS8477:2014.</w:t>
      </w:r>
    </w:p>
    <w:p w14:paraId="00000058" w14:textId="5698D95B" w:rsidR="00DF0C77" w:rsidRPr="00D50299" w:rsidRDefault="00CD2062" w:rsidP="001B56FE">
      <w:pPr>
        <w:pStyle w:val="Heading1"/>
        <w:rPr>
          <w:b/>
          <w:sz w:val="28"/>
          <w:szCs w:val="28"/>
        </w:rPr>
      </w:pPr>
      <w:bookmarkStart w:id="9" w:name="_Toc150170000"/>
      <w:r w:rsidRPr="00D50299">
        <w:rPr>
          <w:b/>
          <w:sz w:val="28"/>
          <w:szCs w:val="28"/>
        </w:rPr>
        <w:t xml:space="preserve">2.5 </w:t>
      </w:r>
      <w:r w:rsidR="001B56FE" w:rsidRPr="00D50299">
        <w:rPr>
          <w:b/>
          <w:sz w:val="28"/>
          <w:szCs w:val="28"/>
        </w:rPr>
        <w:t>Quality</w:t>
      </w:r>
      <w:bookmarkEnd w:id="9"/>
    </w:p>
    <w:p w14:paraId="00000059" w14:textId="77777777" w:rsidR="00DF0C77" w:rsidRPr="00B159DB" w:rsidRDefault="00CD2062">
      <w:pPr>
        <w:rPr>
          <w:sz w:val="24"/>
        </w:rPr>
      </w:pPr>
      <w:r w:rsidRPr="00B159DB">
        <w:rPr>
          <w:sz w:val="24"/>
        </w:rPr>
        <w:t>2.5.1 The Supplier must commit to applying quality standards either to an official ISO standardisation or via evidence that quality standard processes and reporting are in place.</w:t>
      </w:r>
    </w:p>
    <w:p w14:paraId="0000005B" w14:textId="7EE87C8D" w:rsidR="00DF0C77" w:rsidRPr="00B159DB" w:rsidRDefault="00CD2062">
      <w:pPr>
        <w:rPr>
          <w:sz w:val="24"/>
        </w:rPr>
      </w:pPr>
      <w:r w:rsidRPr="00B159DB">
        <w:rPr>
          <w:sz w:val="24"/>
        </w:rPr>
        <w:t xml:space="preserve">2.5.2 The Supplier must offer a range of warranties, subject to </w:t>
      </w:r>
      <w:r w:rsidR="00E23C6A">
        <w:rPr>
          <w:sz w:val="24"/>
        </w:rPr>
        <w:t>Cadent</w:t>
      </w:r>
      <w:r w:rsidRPr="00B159DB">
        <w:rPr>
          <w:sz w:val="24"/>
        </w:rPr>
        <w:t xml:space="preserve"> requirements, with processes in place to perform </w:t>
      </w:r>
      <w:r w:rsidR="0096565F">
        <w:rPr>
          <w:sz w:val="24"/>
        </w:rPr>
        <w:t>defect diagnosis and resolution in respect of the Services and Deliverables</w:t>
      </w:r>
      <w:r w:rsidRPr="00B159DB">
        <w:rPr>
          <w:sz w:val="24"/>
        </w:rPr>
        <w:t xml:space="preserve">. </w:t>
      </w:r>
    </w:p>
    <w:p w14:paraId="0000005C" w14:textId="77777777" w:rsidR="00DF0C77" w:rsidRDefault="00DF0C77"/>
    <w:sectPr w:rsidR="00DF0C77">
      <w:foot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4A2E2" w14:textId="77777777" w:rsidR="00711B3E" w:rsidRDefault="00711B3E">
      <w:pPr>
        <w:spacing w:line="240" w:lineRule="auto"/>
      </w:pPr>
      <w:r>
        <w:separator/>
      </w:r>
    </w:p>
  </w:endnote>
  <w:endnote w:type="continuationSeparator" w:id="0">
    <w:p w14:paraId="16DD4621" w14:textId="77777777" w:rsidR="00711B3E" w:rsidRDefault="00711B3E">
      <w:pPr>
        <w:spacing w:line="240" w:lineRule="auto"/>
      </w:pPr>
      <w:r>
        <w:continuationSeparator/>
      </w:r>
    </w:p>
  </w:endnote>
  <w:endnote w:type="continuationNotice" w:id="1">
    <w:p w14:paraId="183EDB9D" w14:textId="77777777" w:rsidR="009079A2" w:rsidRDefault="009079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D" w14:textId="7E0248C3" w:rsidR="00DF0C77" w:rsidRDefault="00CD2062">
    <w:pPr>
      <w:jc w:val="right"/>
      <w:rPr>
        <w:sz w:val="18"/>
        <w:szCs w:val="18"/>
      </w:rPr>
    </w:pPr>
    <w:r>
      <w:rPr>
        <w:sz w:val="18"/>
        <w:szCs w:val="18"/>
      </w:rPr>
      <w:fldChar w:fldCharType="begin"/>
    </w:r>
    <w:r>
      <w:rPr>
        <w:sz w:val="18"/>
        <w:szCs w:val="18"/>
      </w:rPr>
      <w:instrText>PAGE</w:instrText>
    </w:r>
    <w:r>
      <w:rPr>
        <w:sz w:val="18"/>
        <w:szCs w:val="18"/>
      </w:rPr>
      <w:fldChar w:fldCharType="separate"/>
    </w:r>
    <w:r w:rsidR="00050382">
      <w:rPr>
        <w:noProof/>
        <w:sz w:val="18"/>
        <w:szCs w:val="18"/>
      </w:rPr>
      <w:t>7</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3730" w14:textId="77777777" w:rsidR="00711B3E" w:rsidRDefault="00711B3E">
      <w:pPr>
        <w:spacing w:line="240" w:lineRule="auto"/>
      </w:pPr>
      <w:r>
        <w:separator/>
      </w:r>
    </w:p>
  </w:footnote>
  <w:footnote w:type="continuationSeparator" w:id="0">
    <w:p w14:paraId="5D3607FD" w14:textId="77777777" w:rsidR="00711B3E" w:rsidRDefault="00711B3E">
      <w:pPr>
        <w:spacing w:line="240" w:lineRule="auto"/>
      </w:pPr>
      <w:r>
        <w:continuationSeparator/>
      </w:r>
    </w:p>
  </w:footnote>
  <w:footnote w:type="continuationNotice" w:id="1">
    <w:p w14:paraId="556FDBE4" w14:textId="77777777" w:rsidR="009079A2" w:rsidRDefault="009079A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EA9"/>
    <w:multiLevelType w:val="hybridMultilevel"/>
    <w:tmpl w:val="D0ECA9B2"/>
    <w:lvl w:ilvl="0" w:tplc="C1485AAA">
      <w:start w:val="1"/>
      <w:numFmt w:val="decimal"/>
      <w:lvlText w:val="%1."/>
      <w:lvlJc w:val="left"/>
      <w:pPr>
        <w:ind w:left="0" w:firstLine="0"/>
      </w:pPr>
    </w:lvl>
    <w:lvl w:ilvl="1" w:tplc="C9729086">
      <w:numFmt w:val="decimal"/>
      <w:lvlText w:val=""/>
      <w:lvlJc w:val="left"/>
      <w:pPr>
        <w:ind w:left="0" w:firstLine="0"/>
      </w:pPr>
    </w:lvl>
    <w:lvl w:ilvl="2" w:tplc="F6EAF862">
      <w:numFmt w:val="decimal"/>
      <w:lvlText w:val=""/>
      <w:lvlJc w:val="left"/>
      <w:pPr>
        <w:ind w:left="0" w:firstLine="0"/>
      </w:pPr>
    </w:lvl>
    <w:lvl w:ilvl="3" w:tplc="89D67C2E">
      <w:numFmt w:val="decimal"/>
      <w:lvlText w:val=""/>
      <w:lvlJc w:val="left"/>
      <w:pPr>
        <w:ind w:left="0" w:firstLine="0"/>
      </w:pPr>
    </w:lvl>
    <w:lvl w:ilvl="4" w:tplc="948E8D3C">
      <w:numFmt w:val="decimal"/>
      <w:lvlText w:val=""/>
      <w:lvlJc w:val="left"/>
      <w:pPr>
        <w:ind w:left="0" w:firstLine="0"/>
      </w:pPr>
    </w:lvl>
    <w:lvl w:ilvl="5" w:tplc="DE981110">
      <w:numFmt w:val="decimal"/>
      <w:lvlText w:val=""/>
      <w:lvlJc w:val="left"/>
      <w:pPr>
        <w:ind w:left="0" w:firstLine="0"/>
      </w:pPr>
    </w:lvl>
    <w:lvl w:ilvl="6" w:tplc="D14CC952">
      <w:numFmt w:val="decimal"/>
      <w:lvlText w:val=""/>
      <w:lvlJc w:val="left"/>
      <w:pPr>
        <w:ind w:left="0" w:firstLine="0"/>
      </w:pPr>
    </w:lvl>
    <w:lvl w:ilvl="7" w:tplc="DAEAE99C">
      <w:numFmt w:val="decimal"/>
      <w:lvlText w:val=""/>
      <w:lvlJc w:val="left"/>
      <w:pPr>
        <w:ind w:left="0" w:firstLine="0"/>
      </w:pPr>
    </w:lvl>
    <w:lvl w:ilvl="8" w:tplc="CD5848FA">
      <w:numFmt w:val="decimal"/>
      <w:lvlText w:val=""/>
      <w:lvlJc w:val="left"/>
      <w:pPr>
        <w:ind w:left="0" w:firstLine="0"/>
      </w:pPr>
    </w:lvl>
  </w:abstractNum>
  <w:abstractNum w:abstractNumId="1" w15:restartNumberingAfterBreak="0">
    <w:nsid w:val="07F20159"/>
    <w:multiLevelType w:val="multilevel"/>
    <w:tmpl w:val="BFFEF70A"/>
    <w:lvl w:ilvl="0">
      <w:start w:val="1"/>
      <w:numFmt w:val="decimal"/>
      <w:lvlText w:val="%1."/>
      <w:lvlJc w:val="left"/>
      <w:pPr>
        <w:ind w:left="425" w:hanging="425"/>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A3A7499"/>
    <w:multiLevelType w:val="multilevel"/>
    <w:tmpl w:val="C0F87C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A807723"/>
    <w:multiLevelType w:val="hybridMultilevel"/>
    <w:tmpl w:val="B094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681AE2"/>
    <w:multiLevelType w:val="hybridMultilevel"/>
    <w:tmpl w:val="F9D86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531D8"/>
    <w:multiLevelType w:val="hybridMultilevel"/>
    <w:tmpl w:val="C742E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436858"/>
    <w:multiLevelType w:val="hybridMultilevel"/>
    <w:tmpl w:val="129E9E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EBF16F5"/>
    <w:multiLevelType w:val="multilevel"/>
    <w:tmpl w:val="E7C05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A366972"/>
    <w:multiLevelType w:val="hybridMultilevel"/>
    <w:tmpl w:val="EB721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9820136">
    <w:abstractNumId w:val="7"/>
  </w:num>
  <w:num w:numId="2" w16cid:durableId="177353057">
    <w:abstractNumId w:val="2"/>
  </w:num>
  <w:num w:numId="3" w16cid:durableId="1686832995">
    <w:abstractNumId w:val="1"/>
  </w:num>
  <w:num w:numId="4" w16cid:durableId="872618500">
    <w:abstractNumId w:val="6"/>
  </w:num>
  <w:num w:numId="5" w16cid:durableId="572547731">
    <w:abstractNumId w:val="3"/>
  </w:num>
  <w:num w:numId="6" w16cid:durableId="1523548081">
    <w:abstractNumId w:val="4"/>
  </w:num>
  <w:num w:numId="7" w16cid:durableId="1860268509">
    <w:abstractNumId w:val="5"/>
  </w:num>
  <w:num w:numId="8" w16cid:durableId="225730390">
    <w:abstractNumId w:val="8"/>
  </w:num>
  <w:num w:numId="9" w16cid:durableId="50694624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7"/>
    <w:rsid w:val="000077D2"/>
    <w:rsid w:val="00016CA0"/>
    <w:rsid w:val="00022801"/>
    <w:rsid w:val="00050382"/>
    <w:rsid w:val="00064E15"/>
    <w:rsid w:val="0009156B"/>
    <w:rsid w:val="0009516A"/>
    <w:rsid w:val="00095B09"/>
    <w:rsid w:val="000A4AD4"/>
    <w:rsid w:val="000B097D"/>
    <w:rsid w:val="000B14FC"/>
    <w:rsid w:val="000B27DA"/>
    <w:rsid w:val="000D08C1"/>
    <w:rsid w:val="000D26C0"/>
    <w:rsid w:val="000F1007"/>
    <w:rsid w:val="00113BD3"/>
    <w:rsid w:val="00164058"/>
    <w:rsid w:val="00166EAE"/>
    <w:rsid w:val="0017113E"/>
    <w:rsid w:val="00187A64"/>
    <w:rsid w:val="001A36C7"/>
    <w:rsid w:val="001B56FE"/>
    <w:rsid w:val="001E7046"/>
    <w:rsid w:val="001F0928"/>
    <w:rsid w:val="00206842"/>
    <w:rsid w:val="002601FA"/>
    <w:rsid w:val="00260AD5"/>
    <w:rsid w:val="00265E97"/>
    <w:rsid w:val="00303CFD"/>
    <w:rsid w:val="00316889"/>
    <w:rsid w:val="0033609B"/>
    <w:rsid w:val="00343965"/>
    <w:rsid w:val="00370C70"/>
    <w:rsid w:val="0037322F"/>
    <w:rsid w:val="00383F2B"/>
    <w:rsid w:val="003A4FC3"/>
    <w:rsid w:val="0041494F"/>
    <w:rsid w:val="004364DB"/>
    <w:rsid w:val="0045711D"/>
    <w:rsid w:val="00461C69"/>
    <w:rsid w:val="0047552E"/>
    <w:rsid w:val="00482EA4"/>
    <w:rsid w:val="00485706"/>
    <w:rsid w:val="004A0B96"/>
    <w:rsid w:val="004A20B6"/>
    <w:rsid w:val="004B2D75"/>
    <w:rsid w:val="004B7A03"/>
    <w:rsid w:val="004D2C3F"/>
    <w:rsid w:val="004F490C"/>
    <w:rsid w:val="00507295"/>
    <w:rsid w:val="00563F6A"/>
    <w:rsid w:val="00584165"/>
    <w:rsid w:val="005B1D2B"/>
    <w:rsid w:val="005D5232"/>
    <w:rsid w:val="005D744E"/>
    <w:rsid w:val="00620B93"/>
    <w:rsid w:val="00647A2F"/>
    <w:rsid w:val="0068707C"/>
    <w:rsid w:val="006D34CC"/>
    <w:rsid w:val="006D5EAE"/>
    <w:rsid w:val="007029B4"/>
    <w:rsid w:val="007050A0"/>
    <w:rsid w:val="00711B3E"/>
    <w:rsid w:val="00747DFE"/>
    <w:rsid w:val="00755191"/>
    <w:rsid w:val="00775719"/>
    <w:rsid w:val="00781294"/>
    <w:rsid w:val="00792B63"/>
    <w:rsid w:val="00797935"/>
    <w:rsid w:val="007A7DA0"/>
    <w:rsid w:val="007B7C6F"/>
    <w:rsid w:val="007E5697"/>
    <w:rsid w:val="00812D8A"/>
    <w:rsid w:val="00823188"/>
    <w:rsid w:val="00824495"/>
    <w:rsid w:val="00825193"/>
    <w:rsid w:val="00835182"/>
    <w:rsid w:val="00840181"/>
    <w:rsid w:val="008563B2"/>
    <w:rsid w:val="00857E0B"/>
    <w:rsid w:val="00890337"/>
    <w:rsid w:val="008B38DF"/>
    <w:rsid w:val="008D3242"/>
    <w:rsid w:val="008F4273"/>
    <w:rsid w:val="00902502"/>
    <w:rsid w:val="00904901"/>
    <w:rsid w:val="0090644E"/>
    <w:rsid w:val="009079A2"/>
    <w:rsid w:val="009361C3"/>
    <w:rsid w:val="00942E16"/>
    <w:rsid w:val="0096373F"/>
    <w:rsid w:val="0096565F"/>
    <w:rsid w:val="00995FAA"/>
    <w:rsid w:val="009E1AD4"/>
    <w:rsid w:val="009F4350"/>
    <w:rsid w:val="00A14225"/>
    <w:rsid w:val="00A57ECB"/>
    <w:rsid w:val="00A67924"/>
    <w:rsid w:val="00A86C25"/>
    <w:rsid w:val="00B159DB"/>
    <w:rsid w:val="00B20C70"/>
    <w:rsid w:val="00B4567A"/>
    <w:rsid w:val="00B95493"/>
    <w:rsid w:val="00B97D00"/>
    <w:rsid w:val="00BA594A"/>
    <w:rsid w:val="00BB5477"/>
    <w:rsid w:val="00BD20C7"/>
    <w:rsid w:val="00BE045B"/>
    <w:rsid w:val="00BE77FB"/>
    <w:rsid w:val="00BF61B0"/>
    <w:rsid w:val="00C05E28"/>
    <w:rsid w:val="00C3382F"/>
    <w:rsid w:val="00C42BF6"/>
    <w:rsid w:val="00C47E6C"/>
    <w:rsid w:val="00C75846"/>
    <w:rsid w:val="00C972E4"/>
    <w:rsid w:val="00CD2062"/>
    <w:rsid w:val="00CE76F4"/>
    <w:rsid w:val="00D14059"/>
    <w:rsid w:val="00D16EC9"/>
    <w:rsid w:val="00D239CD"/>
    <w:rsid w:val="00D2501B"/>
    <w:rsid w:val="00D4799D"/>
    <w:rsid w:val="00D50299"/>
    <w:rsid w:val="00D53203"/>
    <w:rsid w:val="00DA0233"/>
    <w:rsid w:val="00DC368E"/>
    <w:rsid w:val="00DF0C77"/>
    <w:rsid w:val="00E149DC"/>
    <w:rsid w:val="00E23342"/>
    <w:rsid w:val="00E23C6A"/>
    <w:rsid w:val="00E26560"/>
    <w:rsid w:val="00E36B60"/>
    <w:rsid w:val="00E44EED"/>
    <w:rsid w:val="00E46FC1"/>
    <w:rsid w:val="00E81E89"/>
    <w:rsid w:val="00E84514"/>
    <w:rsid w:val="00EA7016"/>
    <w:rsid w:val="00EB4B80"/>
    <w:rsid w:val="00EE16D4"/>
    <w:rsid w:val="00F311B4"/>
    <w:rsid w:val="00F6300A"/>
    <w:rsid w:val="00F72E01"/>
    <w:rsid w:val="00FA09CD"/>
    <w:rsid w:val="00FC1917"/>
    <w:rsid w:val="00FC1CF2"/>
    <w:rsid w:val="00FF042B"/>
    <w:rsid w:val="00FF4EF5"/>
    <w:rsid w:val="2D49140D"/>
    <w:rsid w:val="5AE4F109"/>
    <w:rsid w:val="78E34C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0357E"/>
  <w15:docId w15:val="{D3F484EB-0A1F-464F-A966-CF7BC2F0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B159DB"/>
    <w:pPr>
      <w:ind w:left="720"/>
      <w:contextualSpacing/>
    </w:pPr>
  </w:style>
  <w:style w:type="paragraph" w:styleId="Header">
    <w:name w:val="header"/>
    <w:basedOn w:val="Normal"/>
    <w:link w:val="HeaderChar"/>
    <w:uiPriority w:val="99"/>
    <w:unhideWhenUsed/>
    <w:rsid w:val="008F4273"/>
    <w:pPr>
      <w:tabs>
        <w:tab w:val="center" w:pos="4513"/>
        <w:tab w:val="right" w:pos="9026"/>
      </w:tabs>
      <w:spacing w:line="240" w:lineRule="auto"/>
    </w:pPr>
  </w:style>
  <w:style w:type="character" w:customStyle="1" w:styleId="HeaderChar">
    <w:name w:val="Header Char"/>
    <w:basedOn w:val="DefaultParagraphFont"/>
    <w:link w:val="Header"/>
    <w:uiPriority w:val="99"/>
    <w:rsid w:val="008F4273"/>
  </w:style>
  <w:style w:type="paragraph" w:styleId="Footer">
    <w:name w:val="footer"/>
    <w:basedOn w:val="Normal"/>
    <w:link w:val="FooterChar"/>
    <w:uiPriority w:val="99"/>
    <w:unhideWhenUsed/>
    <w:rsid w:val="008F4273"/>
    <w:pPr>
      <w:tabs>
        <w:tab w:val="center" w:pos="4513"/>
        <w:tab w:val="right" w:pos="9026"/>
      </w:tabs>
      <w:spacing w:line="240" w:lineRule="auto"/>
    </w:pPr>
  </w:style>
  <w:style w:type="character" w:customStyle="1" w:styleId="FooterChar">
    <w:name w:val="Footer Char"/>
    <w:basedOn w:val="DefaultParagraphFont"/>
    <w:link w:val="Footer"/>
    <w:uiPriority w:val="99"/>
    <w:rsid w:val="008F4273"/>
  </w:style>
  <w:style w:type="paragraph" w:styleId="TOCHeading">
    <w:name w:val="TOC Heading"/>
    <w:basedOn w:val="Heading1"/>
    <w:next w:val="Normal"/>
    <w:uiPriority w:val="39"/>
    <w:unhideWhenUsed/>
    <w:qFormat/>
    <w:rsid w:val="00265E97"/>
    <w:pPr>
      <w:spacing w:before="240"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paragraph" w:styleId="TOC1">
    <w:name w:val="toc 1"/>
    <w:basedOn w:val="Normal"/>
    <w:next w:val="Normal"/>
    <w:autoRedefine/>
    <w:uiPriority w:val="39"/>
    <w:unhideWhenUsed/>
    <w:rsid w:val="001B56FE"/>
    <w:pPr>
      <w:spacing w:after="100"/>
    </w:pPr>
  </w:style>
  <w:style w:type="character" w:styleId="Hyperlink">
    <w:name w:val="Hyperlink"/>
    <w:basedOn w:val="DefaultParagraphFont"/>
    <w:uiPriority w:val="99"/>
    <w:unhideWhenUsed/>
    <w:rsid w:val="001B56FE"/>
    <w:rPr>
      <w:color w:val="0000FF" w:themeColor="hyperlink"/>
      <w:u w:val="single"/>
    </w:rPr>
  </w:style>
  <w:style w:type="character" w:styleId="CommentReference">
    <w:name w:val="annotation reference"/>
    <w:basedOn w:val="DefaultParagraphFont"/>
    <w:uiPriority w:val="99"/>
    <w:semiHidden/>
    <w:unhideWhenUsed/>
    <w:rsid w:val="00E23C6A"/>
    <w:rPr>
      <w:sz w:val="16"/>
      <w:szCs w:val="16"/>
    </w:rPr>
  </w:style>
  <w:style w:type="paragraph" w:styleId="CommentText">
    <w:name w:val="annotation text"/>
    <w:basedOn w:val="Normal"/>
    <w:link w:val="CommentTextChar"/>
    <w:uiPriority w:val="99"/>
    <w:semiHidden/>
    <w:unhideWhenUsed/>
    <w:rsid w:val="00E23C6A"/>
    <w:pPr>
      <w:spacing w:line="240" w:lineRule="auto"/>
    </w:pPr>
    <w:rPr>
      <w:sz w:val="20"/>
      <w:szCs w:val="20"/>
    </w:rPr>
  </w:style>
  <w:style w:type="character" w:customStyle="1" w:styleId="CommentTextChar">
    <w:name w:val="Comment Text Char"/>
    <w:basedOn w:val="DefaultParagraphFont"/>
    <w:link w:val="CommentText"/>
    <w:uiPriority w:val="99"/>
    <w:semiHidden/>
    <w:rsid w:val="00E23C6A"/>
    <w:rPr>
      <w:sz w:val="20"/>
      <w:szCs w:val="20"/>
    </w:rPr>
  </w:style>
  <w:style w:type="paragraph" w:styleId="CommentSubject">
    <w:name w:val="annotation subject"/>
    <w:basedOn w:val="CommentText"/>
    <w:next w:val="CommentText"/>
    <w:link w:val="CommentSubjectChar"/>
    <w:uiPriority w:val="99"/>
    <w:semiHidden/>
    <w:unhideWhenUsed/>
    <w:rsid w:val="00E23C6A"/>
    <w:rPr>
      <w:b/>
      <w:bCs/>
    </w:rPr>
  </w:style>
  <w:style w:type="character" w:customStyle="1" w:styleId="CommentSubjectChar">
    <w:name w:val="Comment Subject Char"/>
    <w:basedOn w:val="CommentTextChar"/>
    <w:link w:val="CommentSubject"/>
    <w:uiPriority w:val="99"/>
    <w:semiHidden/>
    <w:rsid w:val="00E23C6A"/>
    <w:rPr>
      <w:b/>
      <w:bCs/>
      <w:sz w:val="20"/>
      <w:szCs w:val="20"/>
    </w:rPr>
  </w:style>
  <w:style w:type="table" w:styleId="TableGrid">
    <w:name w:val="Table Grid"/>
    <w:basedOn w:val="TableNormal"/>
    <w:uiPriority w:val="39"/>
    <w:rsid w:val="00E44EED"/>
    <w:pPr>
      <w:spacing w:line="240" w:lineRule="auto"/>
    </w:pPr>
    <w:rPr>
      <w:rFonts w:ascii="Times New Roman" w:eastAsiaTheme="minorEastAsia"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36149">
      <w:bodyDiv w:val="1"/>
      <w:marLeft w:val="0"/>
      <w:marRight w:val="0"/>
      <w:marTop w:val="0"/>
      <w:marBottom w:val="0"/>
      <w:divBdr>
        <w:top w:val="none" w:sz="0" w:space="0" w:color="auto"/>
        <w:left w:val="none" w:sz="0" w:space="0" w:color="auto"/>
        <w:bottom w:val="none" w:sz="0" w:space="0" w:color="auto"/>
        <w:right w:val="none" w:sz="0" w:space="0" w:color="auto"/>
      </w:divBdr>
    </w:div>
    <w:div w:id="79116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dentgas.com/nggdwsdev/media/Downloads/Supplier-Code-of-Conduct.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7488DF-B2E5-432D-A7BE-97AC101D8C36}">
  <ds:schemaRefs>
    <ds:schemaRef ds:uri="http://schemas.openxmlformats.org/officeDocument/2006/bibliography"/>
  </ds:schemaRefs>
</ds:datastoreItem>
</file>

<file path=customXml/itemProps2.xml><?xml version="1.0" encoding="utf-8"?>
<ds:datastoreItem xmlns:ds="http://schemas.openxmlformats.org/officeDocument/2006/customXml" ds:itemID="{A420A5A4-9C3F-4322-A2C1-0E23944D6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0a049-bba2-495f-a015-ddd54a2a44a1"/>
    <ds:schemaRef ds:uri="dc6c1f0e-cab9-47a1-b3cd-48b93dc50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544C2B-F203-4A15-A1DF-8F08D578FBE6}">
  <ds:schemaRefs>
    <ds:schemaRef ds:uri="http://schemas.microsoft.com/sharepoint/v3/contenttype/forms"/>
  </ds:schemaRefs>
</ds:datastoreItem>
</file>

<file path=customXml/itemProps4.xml><?xml version="1.0" encoding="utf-8"?>
<ds:datastoreItem xmlns:ds="http://schemas.openxmlformats.org/officeDocument/2006/customXml" ds:itemID="{37090D68-A381-4DC2-A514-3C6D6BBE64A1}">
  <ds:schemaRefs>
    <ds:schemaRef ds:uri="http://schemas.microsoft.com/office/2006/metadata/properties"/>
    <ds:schemaRef ds:uri="http://schemas.microsoft.com/office/infopath/2007/PartnerControls"/>
    <ds:schemaRef ds:uri="dc6c1f0e-cab9-47a1-b3cd-48b93dc50dfb"/>
    <ds:schemaRef ds:uri="1100a049-bba2-495f-a015-ddd54a2a44a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1172</Words>
  <Characters>6686</Characters>
  <Application>Microsoft Office Word</Application>
  <DocSecurity>0</DocSecurity>
  <Lines>55</Lines>
  <Paragraphs>15</Paragraphs>
  <ScaleCrop>false</ScaleCrop>
  <Company>Cabinet Office</Company>
  <LinksUpToDate>false</LinksUpToDate>
  <CharactersWithSpaces>7843</CharactersWithSpaces>
  <SharedDoc>false</SharedDoc>
  <HLinks>
    <vt:vector size="66" baseType="variant">
      <vt:variant>
        <vt:i4>1703959</vt:i4>
      </vt:variant>
      <vt:variant>
        <vt:i4>63</vt:i4>
      </vt:variant>
      <vt:variant>
        <vt:i4>0</vt:i4>
      </vt:variant>
      <vt:variant>
        <vt:i4>5</vt:i4>
      </vt:variant>
      <vt:variant>
        <vt:lpwstr>https://cadentgas.com/nggdwsdev/media/Downloads/Supplier-Code-of-Conduct.pdf</vt:lpwstr>
      </vt:variant>
      <vt:variant>
        <vt:lpwstr/>
      </vt:variant>
      <vt:variant>
        <vt:i4>1245244</vt:i4>
      </vt:variant>
      <vt:variant>
        <vt:i4>56</vt:i4>
      </vt:variant>
      <vt:variant>
        <vt:i4>0</vt:i4>
      </vt:variant>
      <vt:variant>
        <vt:i4>5</vt:i4>
      </vt:variant>
      <vt:variant>
        <vt:lpwstr/>
      </vt:variant>
      <vt:variant>
        <vt:lpwstr>_Toc149900493</vt:lpwstr>
      </vt:variant>
      <vt:variant>
        <vt:i4>1245244</vt:i4>
      </vt:variant>
      <vt:variant>
        <vt:i4>50</vt:i4>
      </vt:variant>
      <vt:variant>
        <vt:i4>0</vt:i4>
      </vt:variant>
      <vt:variant>
        <vt:i4>5</vt:i4>
      </vt:variant>
      <vt:variant>
        <vt:lpwstr/>
      </vt:variant>
      <vt:variant>
        <vt:lpwstr>_Toc149900492</vt:lpwstr>
      </vt:variant>
      <vt:variant>
        <vt:i4>1245244</vt:i4>
      </vt:variant>
      <vt:variant>
        <vt:i4>44</vt:i4>
      </vt:variant>
      <vt:variant>
        <vt:i4>0</vt:i4>
      </vt:variant>
      <vt:variant>
        <vt:i4>5</vt:i4>
      </vt:variant>
      <vt:variant>
        <vt:lpwstr/>
      </vt:variant>
      <vt:variant>
        <vt:lpwstr>_Toc149900491</vt:lpwstr>
      </vt:variant>
      <vt:variant>
        <vt:i4>1245244</vt:i4>
      </vt:variant>
      <vt:variant>
        <vt:i4>38</vt:i4>
      </vt:variant>
      <vt:variant>
        <vt:i4>0</vt:i4>
      </vt:variant>
      <vt:variant>
        <vt:i4>5</vt:i4>
      </vt:variant>
      <vt:variant>
        <vt:lpwstr/>
      </vt:variant>
      <vt:variant>
        <vt:lpwstr>_Toc149900490</vt:lpwstr>
      </vt:variant>
      <vt:variant>
        <vt:i4>1179708</vt:i4>
      </vt:variant>
      <vt:variant>
        <vt:i4>32</vt:i4>
      </vt:variant>
      <vt:variant>
        <vt:i4>0</vt:i4>
      </vt:variant>
      <vt:variant>
        <vt:i4>5</vt:i4>
      </vt:variant>
      <vt:variant>
        <vt:lpwstr/>
      </vt:variant>
      <vt:variant>
        <vt:lpwstr>_Toc149900489</vt:lpwstr>
      </vt:variant>
      <vt:variant>
        <vt:i4>1179708</vt:i4>
      </vt:variant>
      <vt:variant>
        <vt:i4>26</vt:i4>
      </vt:variant>
      <vt:variant>
        <vt:i4>0</vt:i4>
      </vt:variant>
      <vt:variant>
        <vt:i4>5</vt:i4>
      </vt:variant>
      <vt:variant>
        <vt:lpwstr/>
      </vt:variant>
      <vt:variant>
        <vt:lpwstr>_Toc149900488</vt:lpwstr>
      </vt:variant>
      <vt:variant>
        <vt:i4>1179708</vt:i4>
      </vt:variant>
      <vt:variant>
        <vt:i4>20</vt:i4>
      </vt:variant>
      <vt:variant>
        <vt:i4>0</vt:i4>
      </vt:variant>
      <vt:variant>
        <vt:i4>5</vt:i4>
      </vt:variant>
      <vt:variant>
        <vt:lpwstr/>
      </vt:variant>
      <vt:variant>
        <vt:lpwstr>_Toc149900487</vt:lpwstr>
      </vt:variant>
      <vt:variant>
        <vt:i4>1179708</vt:i4>
      </vt:variant>
      <vt:variant>
        <vt:i4>14</vt:i4>
      </vt:variant>
      <vt:variant>
        <vt:i4>0</vt:i4>
      </vt:variant>
      <vt:variant>
        <vt:i4>5</vt:i4>
      </vt:variant>
      <vt:variant>
        <vt:lpwstr/>
      </vt:variant>
      <vt:variant>
        <vt:lpwstr>_Toc149900486</vt:lpwstr>
      </vt:variant>
      <vt:variant>
        <vt:i4>1179708</vt:i4>
      </vt:variant>
      <vt:variant>
        <vt:i4>8</vt:i4>
      </vt:variant>
      <vt:variant>
        <vt:i4>0</vt:i4>
      </vt:variant>
      <vt:variant>
        <vt:i4>5</vt:i4>
      </vt:variant>
      <vt:variant>
        <vt:lpwstr/>
      </vt:variant>
      <vt:variant>
        <vt:lpwstr>_Toc149900485</vt:lpwstr>
      </vt:variant>
      <vt:variant>
        <vt:i4>1179708</vt:i4>
      </vt:variant>
      <vt:variant>
        <vt:i4>2</vt:i4>
      </vt:variant>
      <vt:variant>
        <vt:i4>0</vt:i4>
      </vt:variant>
      <vt:variant>
        <vt:i4>5</vt:i4>
      </vt:variant>
      <vt:variant>
        <vt:lpwstr/>
      </vt:variant>
      <vt:variant>
        <vt:lpwstr>_Toc149900484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Powell, Rebecca</dc:creator>
  <cp:keywords/>
  <cp:lastModifiedBy>Ochieng, Robbie</cp:lastModifiedBy>
  <cp:revision>78</cp:revision>
  <dcterms:created xsi:type="dcterms:W3CDTF">2023-08-30T18:56:00Z</dcterms:created>
  <dcterms:modified xsi:type="dcterms:W3CDTF">2023-11-06T13:32:00Z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2022-01-12T15:22:44.3629416Z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37fbd321-db61-4674-bc80-ac3f950e604d</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y fmtid="{D5CDD505-2E9C-101B-9397-08002B2CF9AE}" pid="12" name="MediaServiceImageTags">
    <vt:lpwstr/>
  </property>
</Properties>
</file>